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92510" w14:textId="77777777" w:rsidR="00242CFD" w:rsidRPr="001A6A33" w:rsidRDefault="00242CFD">
      <w:pPr>
        <w:suppressAutoHyphens/>
        <w:jc w:val="both"/>
        <w:rPr>
          <w:rFonts w:ascii="Arial" w:hAnsi="Arial" w:cs="Arial"/>
          <w:spacing w:val="-3"/>
          <w:szCs w:val="24"/>
        </w:rPr>
      </w:pPr>
      <w:bookmarkStart w:id="0" w:name="_Hlk228531723"/>
      <w:bookmarkEnd w:id="0"/>
    </w:p>
    <w:p w14:paraId="5BCFD97C" w14:textId="77777777" w:rsidR="00242CFD" w:rsidRPr="001A6A33" w:rsidRDefault="00242CFD">
      <w:pPr>
        <w:suppressAutoHyphens/>
        <w:jc w:val="both"/>
        <w:rPr>
          <w:rFonts w:ascii="Arial" w:hAnsi="Arial" w:cs="Arial"/>
          <w:spacing w:val="-3"/>
          <w:szCs w:val="24"/>
        </w:rPr>
      </w:pPr>
    </w:p>
    <w:p w14:paraId="4FD761DB" w14:textId="77777777" w:rsidR="00242CFD" w:rsidRPr="001A6A33" w:rsidRDefault="00242CFD">
      <w:pPr>
        <w:suppressAutoHyphens/>
        <w:jc w:val="both"/>
        <w:rPr>
          <w:rFonts w:ascii="Arial" w:hAnsi="Arial" w:cs="Arial"/>
          <w:spacing w:val="-3"/>
          <w:szCs w:val="24"/>
        </w:rPr>
      </w:pPr>
    </w:p>
    <w:p w14:paraId="14D1F969" w14:textId="77777777" w:rsidR="00242CFD" w:rsidRPr="001A6A33" w:rsidRDefault="00242CFD">
      <w:pPr>
        <w:suppressAutoHyphens/>
        <w:jc w:val="both"/>
        <w:rPr>
          <w:rFonts w:ascii="Arial" w:hAnsi="Arial" w:cs="Arial"/>
          <w:spacing w:val="-3"/>
          <w:szCs w:val="24"/>
        </w:rPr>
      </w:pPr>
    </w:p>
    <w:p w14:paraId="5659E55E" w14:textId="77777777" w:rsidR="00242CFD" w:rsidRPr="001A6A33" w:rsidRDefault="00242CFD">
      <w:pPr>
        <w:suppressAutoHyphens/>
        <w:jc w:val="both"/>
        <w:rPr>
          <w:rFonts w:ascii="Arial" w:hAnsi="Arial" w:cs="Arial"/>
          <w:spacing w:val="-3"/>
          <w:szCs w:val="24"/>
        </w:rPr>
      </w:pPr>
    </w:p>
    <w:p w14:paraId="51C13824" w14:textId="77777777" w:rsidR="00242CFD" w:rsidRPr="001A6A33" w:rsidRDefault="00242CFD">
      <w:pPr>
        <w:suppressAutoHyphens/>
        <w:jc w:val="both"/>
        <w:rPr>
          <w:rFonts w:ascii="Arial" w:hAnsi="Arial" w:cs="Arial"/>
          <w:spacing w:val="-3"/>
          <w:szCs w:val="24"/>
        </w:rPr>
      </w:pPr>
    </w:p>
    <w:p w14:paraId="7C93939E" w14:textId="77777777" w:rsidR="00242CFD" w:rsidRPr="001A6A33" w:rsidRDefault="00242CFD">
      <w:pPr>
        <w:suppressAutoHyphens/>
        <w:jc w:val="both"/>
        <w:rPr>
          <w:rFonts w:ascii="Arial" w:hAnsi="Arial" w:cs="Arial"/>
          <w:spacing w:val="-3"/>
          <w:szCs w:val="24"/>
        </w:rPr>
      </w:pPr>
    </w:p>
    <w:p w14:paraId="44930CBC" w14:textId="77777777" w:rsidR="00242CFD" w:rsidRPr="001A6A33" w:rsidRDefault="00242CFD">
      <w:pPr>
        <w:suppressAutoHyphens/>
        <w:jc w:val="both"/>
        <w:rPr>
          <w:rFonts w:ascii="Arial" w:hAnsi="Arial" w:cs="Arial"/>
          <w:spacing w:val="-3"/>
          <w:szCs w:val="24"/>
        </w:rPr>
      </w:pPr>
    </w:p>
    <w:p w14:paraId="585C5758" w14:textId="77777777" w:rsidR="00242CFD" w:rsidRPr="001A6A33" w:rsidRDefault="00242CFD">
      <w:pPr>
        <w:suppressAutoHyphens/>
        <w:jc w:val="both"/>
        <w:rPr>
          <w:rFonts w:ascii="Arial" w:hAnsi="Arial" w:cs="Arial"/>
          <w:spacing w:val="-3"/>
          <w:szCs w:val="24"/>
        </w:rPr>
      </w:pPr>
    </w:p>
    <w:p w14:paraId="698FBD02" w14:textId="77777777" w:rsidR="00242CFD" w:rsidRPr="001A6A33" w:rsidRDefault="00242CFD">
      <w:pPr>
        <w:suppressAutoHyphens/>
        <w:jc w:val="both"/>
        <w:rPr>
          <w:rFonts w:ascii="Arial" w:hAnsi="Arial" w:cs="Arial"/>
          <w:spacing w:val="-3"/>
          <w:szCs w:val="24"/>
        </w:rPr>
      </w:pPr>
    </w:p>
    <w:p w14:paraId="4A52E119" w14:textId="77777777" w:rsidR="00242CFD" w:rsidRPr="001A6A33" w:rsidRDefault="00242CFD" w:rsidP="11DEDD71">
      <w:pPr>
        <w:suppressAutoHyphens/>
        <w:jc w:val="center"/>
        <w:rPr>
          <w:rFonts w:ascii="Arial" w:hAnsi="Arial" w:cs="Arial"/>
          <w:b/>
          <w:bCs/>
          <w:spacing w:val="-3"/>
        </w:rPr>
      </w:pPr>
      <w:r w:rsidRPr="001A6A33">
        <w:rPr>
          <w:rFonts w:ascii="Arial" w:hAnsi="Arial" w:cs="Arial"/>
          <w:b/>
          <w:bCs/>
          <w:spacing w:val="-3"/>
        </w:rPr>
        <w:t>COUNTY OF SACRAMENTO</w:t>
      </w:r>
    </w:p>
    <w:p w14:paraId="68926115" w14:textId="77777777" w:rsidR="00242CFD" w:rsidRPr="001A6A33" w:rsidRDefault="00242CFD">
      <w:pPr>
        <w:suppressAutoHyphens/>
        <w:jc w:val="center"/>
        <w:rPr>
          <w:rFonts w:ascii="Arial" w:hAnsi="Arial" w:cs="Arial"/>
          <w:spacing w:val="-3"/>
          <w:szCs w:val="24"/>
        </w:rPr>
      </w:pPr>
    </w:p>
    <w:p w14:paraId="52A35D23" w14:textId="77777777" w:rsidR="00242CFD" w:rsidRPr="001A6A33" w:rsidRDefault="00242CFD">
      <w:pPr>
        <w:tabs>
          <w:tab w:val="center" w:pos="4680"/>
        </w:tabs>
        <w:suppressAutoHyphens/>
        <w:jc w:val="center"/>
        <w:rPr>
          <w:rFonts w:ascii="Arial" w:hAnsi="Arial" w:cs="Arial"/>
          <w:spacing w:val="-3"/>
          <w:szCs w:val="24"/>
        </w:rPr>
      </w:pPr>
      <w:r w:rsidRPr="001A6A33">
        <w:rPr>
          <w:rFonts w:ascii="Arial" w:hAnsi="Arial" w:cs="Arial"/>
          <w:spacing w:val="-3"/>
          <w:szCs w:val="24"/>
        </w:rPr>
        <w:t>Treasury Oversight Committee</w:t>
      </w:r>
    </w:p>
    <w:p w14:paraId="6038E0E1" w14:textId="77777777" w:rsidR="00242CFD" w:rsidRPr="001A6A33" w:rsidRDefault="00242CFD">
      <w:pPr>
        <w:tabs>
          <w:tab w:val="center" w:pos="4680"/>
        </w:tabs>
        <w:suppressAutoHyphens/>
        <w:jc w:val="center"/>
        <w:rPr>
          <w:rFonts w:ascii="Arial" w:hAnsi="Arial" w:cs="Arial"/>
          <w:spacing w:val="-3"/>
          <w:szCs w:val="24"/>
        </w:rPr>
      </w:pPr>
      <w:r w:rsidRPr="001A6A33">
        <w:rPr>
          <w:rFonts w:ascii="Arial" w:hAnsi="Arial" w:cs="Arial"/>
          <w:spacing w:val="-3"/>
          <w:szCs w:val="24"/>
        </w:rPr>
        <w:t>Non-Pooled Investments</w:t>
      </w:r>
    </w:p>
    <w:p w14:paraId="0117F76D" w14:textId="77777777" w:rsidR="00242CFD" w:rsidRPr="001A6A33" w:rsidRDefault="00920FE9">
      <w:pPr>
        <w:tabs>
          <w:tab w:val="center" w:pos="4680"/>
        </w:tabs>
        <w:suppressAutoHyphens/>
        <w:jc w:val="center"/>
        <w:rPr>
          <w:rFonts w:ascii="Arial" w:hAnsi="Arial" w:cs="Arial"/>
          <w:spacing w:val="-3"/>
          <w:szCs w:val="24"/>
        </w:rPr>
      </w:pPr>
      <w:r w:rsidRPr="001A6A33">
        <w:rPr>
          <w:rFonts w:ascii="Arial" w:hAnsi="Arial" w:cs="Arial"/>
          <w:spacing w:val="-3"/>
          <w:szCs w:val="24"/>
        </w:rPr>
        <w:t>Performance Audit</w:t>
      </w:r>
      <w:r w:rsidR="00242CFD" w:rsidRPr="001A6A33">
        <w:rPr>
          <w:rFonts w:ascii="Arial" w:hAnsi="Arial" w:cs="Arial"/>
          <w:spacing w:val="-3"/>
          <w:szCs w:val="24"/>
        </w:rPr>
        <w:t xml:space="preserve"> Report</w:t>
      </w:r>
    </w:p>
    <w:p w14:paraId="0F7BC25A" w14:textId="77777777" w:rsidR="00242CFD" w:rsidRPr="001A6A33" w:rsidRDefault="00242CFD">
      <w:pPr>
        <w:tabs>
          <w:tab w:val="center" w:pos="4680"/>
        </w:tabs>
        <w:suppressAutoHyphens/>
        <w:jc w:val="center"/>
        <w:rPr>
          <w:rFonts w:ascii="Arial" w:hAnsi="Arial" w:cs="Arial"/>
          <w:spacing w:val="-3"/>
          <w:szCs w:val="24"/>
        </w:rPr>
      </w:pPr>
    </w:p>
    <w:p w14:paraId="19DBC18D" w14:textId="4A48D162" w:rsidR="00242CFD" w:rsidRPr="001A6A33" w:rsidRDefault="00242CFD">
      <w:pPr>
        <w:tabs>
          <w:tab w:val="center" w:pos="4680"/>
        </w:tabs>
        <w:suppressAutoHyphens/>
        <w:jc w:val="center"/>
        <w:rPr>
          <w:rFonts w:ascii="Arial" w:hAnsi="Arial" w:cs="Arial"/>
          <w:spacing w:val="-3"/>
          <w:szCs w:val="24"/>
        </w:rPr>
      </w:pPr>
      <w:r w:rsidRPr="001A6A33">
        <w:rPr>
          <w:rFonts w:ascii="Arial" w:hAnsi="Arial" w:cs="Arial"/>
          <w:spacing w:val="-3"/>
          <w:szCs w:val="24"/>
        </w:rPr>
        <w:t xml:space="preserve">For the </w:t>
      </w:r>
      <w:r w:rsidR="002030C9" w:rsidRPr="001A6A33">
        <w:rPr>
          <w:rFonts w:ascii="Arial" w:hAnsi="Arial" w:cs="Arial"/>
          <w:spacing w:val="-3"/>
          <w:szCs w:val="24"/>
        </w:rPr>
        <w:t>Quarter Ended</w:t>
      </w:r>
      <w:r w:rsidR="00D07FC0" w:rsidRPr="001A6A33">
        <w:rPr>
          <w:rFonts w:ascii="Arial" w:hAnsi="Arial" w:cs="Arial"/>
          <w:spacing w:val="-3"/>
          <w:szCs w:val="24"/>
        </w:rPr>
        <w:t xml:space="preserve"> </w:t>
      </w:r>
      <w:r w:rsidR="005F5339" w:rsidRPr="001A6A33">
        <w:rPr>
          <w:rFonts w:ascii="Arial" w:hAnsi="Arial" w:cs="Arial"/>
          <w:spacing w:val="-3"/>
          <w:szCs w:val="24"/>
        </w:rPr>
        <w:t>March</w:t>
      </w:r>
      <w:r w:rsidR="00717AB9" w:rsidRPr="001A6A33">
        <w:rPr>
          <w:rFonts w:ascii="Arial" w:hAnsi="Arial" w:cs="Arial"/>
          <w:spacing w:val="-3"/>
          <w:szCs w:val="24"/>
        </w:rPr>
        <w:t xml:space="preserve"> 3</w:t>
      </w:r>
      <w:r w:rsidR="005F5339" w:rsidRPr="001A6A33">
        <w:rPr>
          <w:rFonts w:ascii="Arial" w:hAnsi="Arial" w:cs="Arial"/>
          <w:spacing w:val="-3"/>
          <w:szCs w:val="24"/>
        </w:rPr>
        <w:t>1</w:t>
      </w:r>
      <w:r w:rsidR="00911C72" w:rsidRPr="001A6A33">
        <w:rPr>
          <w:rFonts w:ascii="Arial" w:hAnsi="Arial" w:cs="Arial"/>
          <w:spacing w:val="-3"/>
          <w:szCs w:val="24"/>
        </w:rPr>
        <w:t>, 202</w:t>
      </w:r>
      <w:r w:rsidR="005F5339" w:rsidRPr="001A6A33">
        <w:rPr>
          <w:rFonts w:ascii="Arial" w:hAnsi="Arial" w:cs="Arial"/>
          <w:spacing w:val="-3"/>
          <w:szCs w:val="24"/>
        </w:rPr>
        <w:t>6</w:t>
      </w:r>
    </w:p>
    <w:p w14:paraId="1E9D0ECF" w14:textId="77777777" w:rsidR="00242CFD" w:rsidRPr="001A6A33" w:rsidRDefault="00242CFD">
      <w:pPr>
        <w:tabs>
          <w:tab w:val="left" w:pos="-720"/>
        </w:tabs>
        <w:suppressAutoHyphens/>
        <w:jc w:val="both"/>
        <w:rPr>
          <w:rFonts w:ascii="Arial" w:hAnsi="Arial" w:cs="Arial"/>
          <w:spacing w:val="-3"/>
          <w:szCs w:val="24"/>
        </w:rPr>
      </w:pPr>
    </w:p>
    <w:p w14:paraId="0A4DEF76" w14:textId="77777777" w:rsidR="00242CFD" w:rsidRPr="001A6A33" w:rsidRDefault="00242CFD">
      <w:pPr>
        <w:tabs>
          <w:tab w:val="left" w:pos="-720"/>
        </w:tabs>
        <w:suppressAutoHyphens/>
        <w:jc w:val="both"/>
        <w:rPr>
          <w:rFonts w:ascii="Arial" w:hAnsi="Arial" w:cs="Arial"/>
          <w:spacing w:val="-3"/>
          <w:szCs w:val="24"/>
        </w:rPr>
      </w:pPr>
    </w:p>
    <w:p w14:paraId="6AE82BF0" w14:textId="77777777" w:rsidR="00242CFD" w:rsidRPr="001A6A33" w:rsidRDefault="00242CFD">
      <w:pPr>
        <w:tabs>
          <w:tab w:val="left" w:pos="-720"/>
        </w:tabs>
        <w:suppressAutoHyphens/>
        <w:jc w:val="both"/>
        <w:rPr>
          <w:rFonts w:ascii="Arial" w:hAnsi="Arial" w:cs="Arial"/>
          <w:spacing w:val="-3"/>
          <w:szCs w:val="24"/>
        </w:rPr>
      </w:pPr>
    </w:p>
    <w:p w14:paraId="67EA82DE" w14:textId="77777777" w:rsidR="00242CFD" w:rsidRPr="001A6A33" w:rsidRDefault="00242CFD">
      <w:pPr>
        <w:tabs>
          <w:tab w:val="left" w:pos="-720"/>
        </w:tabs>
        <w:suppressAutoHyphens/>
        <w:jc w:val="both"/>
        <w:rPr>
          <w:rFonts w:ascii="Arial" w:hAnsi="Arial" w:cs="Arial"/>
          <w:spacing w:val="-3"/>
          <w:szCs w:val="24"/>
        </w:rPr>
      </w:pPr>
    </w:p>
    <w:p w14:paraId="2AAB7DCE" w14:textId="77777777" w:rsidR="00242CFD" w:rsidRPr="001A6A33" w:rsidRDefault="00242CFD">
      <w:pPr>
        <w:tabs>
          <w:tab w:val="left" w:pos="-720"/>
        </w:tabs>
        <w:suppressAutoHyphens/>
        <w:jc w:val="both"/>
        <w:rPr>
          <w:rFonts w:ascii="Arial" w:hAnsi="Arial" w:cs="Arial"/>
          <w:spacing w:val="-3"/>
          <w:szCs w:val="24"/>
        </w:rPr>
      </w:pPr>
    </w:p>
    <w:p w14:paraId="100604AE" w14:textId="77777777" w:rsidR="00242CFD" w:rsidRPr="001A6A33" w:rsidRDefault="00242CFD">
      <w:pPr>
        <w:tabs>
          <w:tab w:val="left" w:pos="-720"/>
        </w:tabs>
        <w:suppressAutoHyphens/>
        <w:jc w:val="both"/>
        <w:rPr>
          <w:rFonts w:ascii="Arial" w:hAnsi="Arial" w:cs="Arial"/>
          <w:spacing w:val="-3"/>
          <w:szCs w:val="24"/>
        </w:rPr>
      </w:pPr>
    </w:p>
    <w:p w14:paraId="51EE4D91" w14:textId="77777777" w:rsidR="00242CFD" w:rsidRPr="001A6A33" w:rsidRDefault="00242CFD">
      <w:pPr>
        <w:tabs>
          <w:tab w:val="left" w:pos="-720"/>
        </w:tabs>
        <w:suppressAutoHyphens/>
        <w:jc w:val="both"/>
        <w:rPr>
          <w:rFonts w:ascii="Arial" w:hAnsi="Arial" w:cs="Arial"/>
          <w:spacing w:val="-3"/>
          <w:szCs w:val="24"/>
        </w:rPr>
      </w:pPr>
    </w:p>
    <w:p w14:paraId="3E22A305" w14:textId="77777777" w:rsidR="00242CFD" w:rsidRPr="001A6A33" w:rsidRDefault="00242CFD">
      <w:pPr>
        <w:tabs>
          <w:tab w:val="left" w:pos="-720"/>
        </w:tabs>
        <w:suppressAutoHyphens/>
        <w:jc w:val="both"/>
        <w:rPr>
          <w:rFonts w:ascii="Arial" w:hAnsi="Arial" w:cs="Arial"/>
          <w:spacing w:val="-3"/>
          <w:szCs w:val="24"/>
        </w:rPr>
      </w:pPr>
    </w:p>
    <w:p w14:paraId="51D4CD82" w14:textId="77777777" w:rsidR="00242CFD" w:rsidRPr="001A6A33" w:rsidRDefault="00242CFD">
      <w:pPr>
        <w:tabs>
          <w:tab w:val="left" w:pos="-720"/>
        </w:tabs>
        <w:suppressAutoHyphens/>
        <w:jc w:val="both"/>
        <w:rPr>
          <w:rFonts w:ascii="Arial" w:hAnsi="Arial" w:cs="Arial"/>
          <w:spacing w:val="-3"/>
          <w:szCs w:val="24"/>
        </w:rPr>
      </w:pPr>
    </w:p>
    <w:p w14:paraId="6BDCD422" w14:textId="77777777" w:rsidR="00242CFD" w:rsidRPr="001A6A33" w:rsidRDefault="00242CFD">
      <w:pPr>
        <w:tabs>
          <w:tab w:val="left" w:pos="-720"/>
        </w:tabs>
        <w:suppressAutoHyphens/>
        <w:jc w:val="both"/>
        <w:rPr>
          <w:rFonts w:ascii="Arial" w:hAnsi="Arial" w:cs="Arial"/>
          <w:spacing w:val="-3"/>
          <w:szCs w:val="24"/>
        </w:rPr>
      </w:pPr>
    </w:p>
    <w:p w14:paraId="11C30960" w14:textId="77777777" w:rsidR="00242CFD" w:rsidRPr="001A6A33" w:rsidRDefault="00242CFD">
      <w:pPr>
        <w:tabs>
          <w:tab w:val="left" w:pos="-720"/>
        </w:tabs>
        <w:suppressAutoHyphens/>
        <w:jc w:val="both"/>
        <w:rPr>
          <w:rFonts w:ascii="Arial" w:hAnsi="Arial" w:cs="Arial"/>
          <w:spacing w:val="-3"/>
          <w:szCs w:val="24"/>
        </w:rPr>
      </w:pPr>
    </w:p>
    <w:p w14:paraId="024B6672" w14:textId="77777777" w:rsidR="00242CFD" w:rsidRPr="001A6A33" w:rsidRDefault="00242CFD">
      <w:pPr>
        <w:tabs>
          <w:tab w:val="left" w:pos="-720"/>
        </w:tabs>
        <w:suppressAutoHyphens/>
        <w:jc w:val="both"/>
        <w:rPr>
          <w:rFonts w:ascii="Arial" w:hAnsi="Arial" w:cs="Arial"/>
          <w:spacing w:val="-3"/>
          <w:szCs w:val="24"/>
        </w:rPr>
      </w:pPr>
    </w:p>
    <w:p w14:paraId="21A5CA3B" w14:textId="77777777" w:rsidR="00242CFD" w:rsidRPr="001A6A33" w:rsidRDefault="00242CFD">
      <w:pPr>
        <w:tabs>
          <w:tab w:val="left" w:pos="-720"/>
        </w:tabs>
        <w:suppressAutoHyphens/>
        <w:jc w:val="both"/>
        <w:rPr>
          <w:rFonts w:ascii="Arial" w:hAnsi="Arial" w:cs="Arial"/>
          <w:spacing w:val="-3"/>
          <w:szCs w:val="24"/>
        </w:rPr>
      </w:pPr>
    </w:p>
    <w:p w14:paraId="704BF05B" w14:textId="77777777" w:rsidR="00242CFD" w:rsidRPr="001A6A33" w:rsidRDefault="00242CFD">
      <w:pPr>
        <w:tabs>
          <w:tab w:val="left" w:pos="-720"/>
        </w:tabs>
        <w:suppressAutoHyphens/>
        <w:jc w:val="both"/>
        <w:rPr>
          <w:rFonts w:ascii="Arial" w:hAnsi="Arial" w:cs="Arial"/>
          <w:spacing w:val="-3"/>
          <w:szCs w:val="24"/>
        </w:rPr>
      </w:pPr>
    </w:p>
    <w:p w14:paraId="2C50C95F" w14:textId="77777777" w:rsidR="00242CFD" w:rsidRPr="001A6A33" w:rsidRDefault="00242CFD">
      <w:pPr>
        <w:tabs>
          <w:tab w:val="left" w:pos="-720"/>
        </w:tabs>
        <w:suppressAutoHyphens/>
        <w:jc w:val="both"/>
        <w:rPr>
          <w:rFonts w:ascii="Arial" w:hAnsi="Arial" w:cs="Arial"/>
          <w:spacing w:val="-3"/>
          <w:szCs w:val="24"/>
        </w:rPr>
      </w:pPr>
    </w:p>
    <w:p w14:paraId="324A1429" w14:textId="77777777" w:rsidR="00242CFD" w:rsidRPr="001A6A33" w:rsidRDefault="00242CFD">
      <w:pPr>
        <w:tabs>
          <w:tab w:val="left" w:pos="-720"/>
        </w:tabs>
        <w:suppressAutoHyphens/>
        <w:jc w:val="both"/>
        <w:rPr>
          <w:rFonts w:ascii="Arial" w:hAnsi="Arial" w:cs="Arial"/>
          <w:spacing w:val="-3"/>
          <w:szCs w:val="24"/>
        </w:rPr>
      </w:pPr>
    </w:p>
    <w:p w14:paraId="5EF429C8" w14:textId="77777777" w:rsidR="00242CFD" w:rsidRPr="001A6A33" w:rsidRDefault="00242CFD">
      <w:pPr>
        <w:tabs>
          <w:tab w:val="left" w:pos="-720"/>
        </w:tabs>
        <w:suppressAutoHyphens/>
        <w:jc w:val="both"/>
        <w:rPr>
          <w:rFonts w:ascii="Arial" w:hAnsi="Arial" w:cs="Arial"/>
          <w:spacing w:val="-3"/>
          <w:szCs w:val="24"/>
        </w:rPr>
      </w:pPr>
    </w:p>
    <w:p w14:paraId="57F3C308" w14:textId="77777777" w:rsidR="00242CFD" w:rsidRPr="001A6A33" w:rsidRDefault="00242CFD">
      <w:pPr>
        <w:tabs>
          <w:tab w:val="left" w:pos="-720"/>
        </w:tabs>
        <w:suppressAutoHyphens/>
        <w:jc w:val="both"/>
        <w:rPr>
          <w:rFonts w:ascii="Arial" w:hAnsi="Arial" w:cs="Arial"/>
          <w:spacing w:val="-3"/>
          <w:szCs w:val="24"/>
        </w:rPr>
      </w:pPr>
    </w:p>
    <w:p w14:paraId="3D8E00E5" w14:textId="77777777" w:rsidR="00242CFD" w:rsidRPr="001A6A33" w:rsidRDefault="00242CFD">
      <w:pPr>
        <w:tabs>
          <w:tab w:val="left" w:pos="-720"/>
          <w:tab w:val="left" w:pos="1440"/>
        </w:tabs>
        <w:suppressAutoHyphens/>
        <w:jc w:val="both"/>
        <w:rPr>
          <w:rFonts w:ascii="Arial" w:hAnsi="Arial" w:cs="Arial"/>
          <w:spacing w:val="-3"/>
          <w:szCs w:val="24"/>
        </w:rPr>
      </w:pPr>
      <w:r w:rsidRPr="001A6A33">
        <w:rPr>
          <w:rFonts w:ascii="Arial" w:hAnsi="Arial" w:cs="Arial"/>
          <w:spacing w:val="-3"/>
          <w:szCs w:val="24"/>
        </w:rPr>
        <w:tab/>
        <w:t>Audit Staff:</w:t>
      </w:r>
    </w:p>
    <w:p w14:paraId="37308583" w14:textId="574B10A6" w:rsidR="00382A0F" w:rsidRPr="001A6A33" w:rsidRDefault="002C52E3" w:rsidP="00450C15">
      <w:pPr>
        <w:tabs>
          <w:tab w:val="left" w:pos="-720"/>
          <w:tab w:val="left" w:pos="1440"/>
        </w:tabs>
        <w:suppressAutoHyphens/>
        <w:jc w:val="both"/>
        <w:rPr>
          <w:rFonts w:ascii="Arial" w:hAnsi="Arial" w:cs="Arial"/>
          <w:spacing w:val="-3"/>
          <w:szCs w:val="24"/>
        </w:rPr>
      </w:pPr>
      <w:r w:rsidRPr="001A6A33">
        <w:rPr>
          <w:rFonts w:ascii="Arial" w:hAnsi="Arial" w:cs="Arial"/>
          <w:spacing w:val="-3"/>
          <w:szCs w:val="24"/>
        </w:rPr>
        <w:tab/>
      </w:r>
    </w:p>
    <w:p w14:paraId="1142C536" w14:textId="5B7EBA98" w:rsidR="00554ED7" w:rsidRPr="001A6A33" w:rsidRDefault="00382A0F">
      <w:pPr>
        <w:tabs>
          <w:tab w:val="left" w:pos="-720"/>
          <w:tab w:val="left" w:pos="1620"/>
          <w:tab w:val="left" w:pos="3780"/>
          <w:tab w:val="left" w:pos="4680"/>
        </w:tabs>
        <w:suppressAutoHyphens/>
        <w:jc w:val="both"/>
        <w:rPr>
          <w:rFonts w:ascii="Arial" w:hAnsi="Arial" w:cs="Arial"/>
          <w:spacing w:val="-3"/>
          <w:szCs w:val="24"/>
        </w:rPr>
      </w:pPr>
      <w:r w:rsidRPr="001A6A33">
        <w:rPr>
          <w:rFonts w:ascii="Arial" w:hAnsi="Arial" w:cs="Arial"/>
          <w:spacing w:val="-3"/>
          <w:szCs w:val="24"/>
        </w:rPr>
        <w:tab/>
      </w:r>
      <w:r w:rsidR="00092266" w:rsidRPr="001A6A33">
        <w:rPr>
          <w:rFonts w:ascii="Arial" w:hAnsi="Arial" w:cs="Arial"/>
          <w:spacing w:val="-3"/>
          <w:szCs w:val="24"/>
        </w:rPr>
        <w:t>Tae-Young Kang</w:t>
      </w:r>
      <w:r w:rsidR="000C3751" w:rsidRPr="001A6A33">
        <w:rPr>
          <w:rFonts w:ascii="Arial" w:hAnsi="Arial" w:cs="Arial"/>
          <w:spacing w:val="-3"/>
          <w:szCs w:val="24"/>
        </w:rPr>
        <w:t>, CPA</w:t>
      </w:r>
      <w:r w:rsidR="00554ED7" w:rsidRPr="001A6A33">
        <w:rPr>
          <w:rFonts w:ascii="Arial" w:hAnsi="Arial" w:cs="Arial"/>
          <w:spacing w:val="-3"/>
          <w:szCs w:val="24"/>
        </w:rPr>
        <w:tab/>
      </w:r>
      <w:r w:rsidR="00554ED7" w:rsidRPr="001A6A33">
        <w:rPr>
          <w:rFonts w:ascii="Arial" w:hAnsi="Arial" w:cs="Arial"/>
          <w:spacing w:val="-3"/>
          <w:szCs w:val="24"/>
        </w:rPr>
        <w:tab/>
      </w:r>
      <w:r w:rsidR="00092266" w:rsidRPr="001A6A33">
        <w:rPr>
          <w:rFonts w:ascii="Arial" w:hAnsi="Arial" w:cs="Arial"/>
          <w:spacing w:val="-3"/>
          <w:szCs w:val="24"/>
        </w:rPr>
        <w:t>Audit Manager</w:t>
      </w:r>
    </w:p>
    <w:p w14:paraId="1DA4C2DB" w14:textId="1E4DA875" w:rsidR="00AC2C32" w:rsidRPr="001A6A33" w:rsidRDefault="00AC2C32" w:rsidP="22884DEF">
      <w:pPr>
        <w:tabs>
          <w:tab w:val="left" w:pos="1620"/>
          <w:tab w:val="left" w:pos="3780"/>
          <w:tab w:val="left" w:pos="4680"/>
        </w:tabs>
        <w:suppressAutoHyphens/>
        <w:jc w:val="both"/>
        <w:rPr>
          <w:rFonts w:ascii="Arial" w:hAnsi="Arial" w:cs="Arial"/>
          <w:spacing w:val="-3"/>
        </w:rPr>
      </w:pPr>
      <w:r w:rsidRPr="001A6A33">
        <w:rPr>
          <w:rFonts w:ascii="Arial" w:hAnsi="Arial" w:cs="Arial"/>
          <w:spacing w:val="-3"/>
          <w:szCs w:val="24"/>
        </w:rPr>
        <w:tab/>
      </w:r>
      <w:r w:rsidR="00800269" w:rsidRPr="001A6A33">
        <w:rPr>
          <w:rFonts w:ascii="Arial" w:hAnsi="Arial" w:cs="Arial"/>
          <w:spacing w:val="-3"/>
        </w:rPr>
        <w:t>Gurneet</w:t>
      </w:r>
      <w:r w:rsidR="56657E4D" w:rsidRPr="001A6A33">
        <w:rPr>
          <w:rFonts w:ascii="Arial" w:hAnsi="Arial" w:cs="Arial"/>
          <w:spacing w:val="-3"/>
        </w:rPr>
        <w:t xml:space="preserve"> </w:t>
      </w:r>
      <w:r w:rsidR="00800269" w:rsidRPr="001A6A33">
        <w:rPr>
          <w:rFonts w:ascii="Arial" w:hAnsi="Arial" w:cs="Arial"/>
          <w:spacing w:val="-3"/>
        </w:rPr>
        <w:t>Kaur</w:t>
      </w:r>
      <w:r w:rsidRPr="001A6A33">
        <w:rPr>
          <w:rFonts w:ascii="Arial" w:hAnsi="Arial" w:cs="Arial"/>
          <w:spacing w:val="-3"/>
          <w:szCs w:val="24"/>
        </w:rPr>
        <w:tab/>
      </w:r>
      <w:r w:rsidRPr="001A6A33">
        <w:rPr>
          <w:rFonts w:ascii="Arial" w:hAnsi="Arial" w:cs="Arial"/>
          <w:spacing w:val="-3"/>
          <w:szCs w:val="24"/>
        </w:rPr>
        <w:tab/>
      </w:r>
      <w:r w:rsidRPr="001A6A33">
        <w:rPr>
          <w:rFonts w:ascii="Arial" w:hAnsi="Arial" w:cs="Arial"/>
          <w:spacing w:val="-3"/>
          <w:szCs w:val="24"/>
        </w:rPr>
        <w:tab/>
      </w:r>
      <w:r w:rsidR="2E7D6F4A" w:rsidRPr="001A6A33">
        <w:rPr>
          <w:rFonts w:ascii="Arial" w:hAnsi="Arial" w:cs="Arial"/>
          <w:spacing w:val="-3"/>
        </w:rPr>
        <w:t>Auditor</w:t>
      </w:r>
    </w:p>
    <w:p w14:paraId="4994592C" w14:textId="77777777" w:rsidR="002C52E3" w:rsidRPr="001A6A33" w:rsidRDefault="002C52E3">
      <w:pPr>
        <w:tabs>
          <w:tab w:val="left" w:pos="-720"/>
          <w:tab w:val="left" w:pos="1620"/>
          <w:tab w:val="left" w:pos="3780"/>
          <w:tab w:val="left" w:pos="4680"/>
        </w:tabs>
        <w:suppressAutoHyphens/>
        <w:jc w:val="both"/>
        <w:rPr>
          <w:rFonts w:ascii="Arial" w:hAnsi="Arial" w:cs="Arial"/>
          <w:spacing w:val="-3"/>
          <w:szCs w:val="24"/>
        </w:rPr>
      </w:pPr>
      <w:r w:rsidRPr="001A6A33">
        <w:rPr>
          <w:rFonts w:ascii="Arial" w:hAnsi="Arial" w:cs="Arial"/>
          <w:spacing w:val="-3"/>
          <w:szCs w:val="24"/>
        </w:rPr>
        <w:tab/>
      </w:r>
    </w:p>
    <w:p w14:paraId="5B2DBB6F" w14:textId="77777777" w:rsidR="00242CFD" w:rsidRPr="001A6A33" w:rsidRDefault="00242CFD">
      <w:pPr>
        <w:tabs>
          <w:tab w:val="left" w:pos="-720"/>
        </w:tabs>
        <w:suppressAutoHyphens/>
        <w:jc w:val="both"/>
        <w:rPr>
          <w:rFonts w:ascii="Arial" w:hAnsi="Arial" w:cs="Arial"/>
          <w:spacing w:val="-3"/>
          <w:szCs w:val="24"/>
        </w:rPr>
        <w:sectPr w:rsidR="00242CFD" w:rsidRPr="001A6A33" w:rsidSect="008E4F57">
          <w:footerReference w:type="even" r:id="rId8"/>
          <w:headerReference w:type="first" r:id="rId9"/>
          <w:endnotePr>
            <w:numFmt w:val="decimal"/>
          </w:endnotePr>
          <w:pgSz w:w="12240" w:h="15840" w:code="1"/>
          <w:pgMar w:top="1440" w:right="1440" w:bottom="1440" w:left="1800" w:header="720" w:footer="720" w:gutter="0"/>
          <w:pgNumType w:start="1"/>
          <w:cols w:space="720"/>
          <w:noEndnote/>
        </w:sectPr>
      </w:pPr>
      <w:r w:rsidRPr="001A6A33">
        <w:rPr>
          <w:rFonts w:ascii="Arial" w:hAnsi="Arial" w:cs="Arial"/>
          <w:spacing w:val="-3"/>
          <w:szCs w:val="24"/>
        </w:rPr>
        <w:tab/>
      </w:r>
      <w:r w:rsidR="002C52E3" w:rsidRPr="001A6A33">
        <w:rPr>
          <w:rFonts w:ascii="Arial" w:hAnsi="Arial" w:cs="Arial"/>
          <w:spacing w:val="-3"/>
          <w:szCs w:val="24"/>
        </w:rPr>
        <w:tab/>
      </w:r>
      <w:r w:rsidR="002C52E3" w:rsidRPr="001A6A33">
        <w:rPr>
          <w:rFonts w:ascii="Arial" w:hAnsi="Arial" w:cs="Arial"/>
          <w:spacing w:val="-3"/>
          <w:szCs w:val="24"/>
        </w:rPr>
        <w:tab/>
      </w:r>
    </w:p>
    <w:p w14:paraId="047C71FC" w14:textId="77777777" w:rsidR="00242CFD" w:rsidRPr="001A6A33" w:rsidRDefault="00242CFD">
      <w:pPr>
        <w:tabs>
          <w:tab w:val="left" w:pos="1440"/>
        </w:tabs>
        <w:suppressAutoHyphens/>
        <w:jc w:val="both"/>
        <w:rPr>
          <w:rFonts w:ascii="Arial" w:hAnsi="Arial" w:cs="Arial"/>
          <w:spacing w:val="-3"/>
          <w:szCs w:val="24"/>
        </w:rPr>
      </w:pPr>
    </w:p>
    <w:p w14:paraId="352D9029" w14:textId="77777777" w:rsidR="00242CFD" w:rsidRPr="001A6A33" w:rsidRDefault="00242CFD">
      <w:pPr>
        <w:tabs>
          <w:tab w:val="left" w:pos="1440"/>
        </w:tabs>
        <w:suppressAutoHyphens/>
        <w:jc w:val="both"/>
        <w:rPr>
          <w:rFonts w:ascii="Arial" w:hAnsi="Arial" w:cs="Arial"/>
          <w:spacing w:val="-3"/>
          <w:szCs w:val="24"/>
        </w:rPr>
      </w:pPr>
    </w:p>
    <w:p w14:paraId="300056E7" w14:textId="77777777" w:rsidR="00242CFD" w:rsidRPr="001A6A33" w:rsidRDefault="00242CFD">
      <w:pPr>
        <w:tabs>
          <w:tab w:val="left" w:pos="1440"/>
        </w:tabs>
        <w:suppressAutoHyphens/>
        <w:jc w:val="both"/>
        <w:rPr>
          <w:rFonts w:ascii="Arial" w:hAnsi="Arial" w:cs="Arial"/>
          <w:spacing w:val="-3"/>
          <w:szCs w:val="24"/>
        </w:rPr>
      </w:pPr>
    </w:p>
    <w:p w14:paraId="1812A5E0" w14:textId="77777777" w:rsidR="00242CFD" w:rsidRPr="001A6A33" w:rsidRDefault="00242CFD">
      <w:pPr>
        <w:tabs>
          <w:tab w:val="left" w:pos="720"/>
          <w:tab w:val="center" w:pos="4320"/>
        </w:tabs>
        <w:suppressAutoHyphens/>
        <w:jc w:val="center"/>
        <w:rPr>
          <w:rFonts w:ascii="Arial" w:hAnsi="Arial" w:cs="Arial"/>
          <w:spacing w:val="-3"/>
          <w:szCs w:val="24"/>
        </w:rPr>
      </w:pPr>
      <w:r w:rsidRPr="001A6A33">
        <w:rPr>
          <w:rFonts w:ascii="Arial" w:hAnsi="Arial" w:cs="Arial"/>
          <w:spacing w:val="-3"/>
          <w:szCs w:val="24"/>
        </w:rPr>
        <w:t>Table of Contents</w:t>
      </w:r>
    </w:p>
    <w:p w14:paraId="1E724091" w14:textId="77777777" w:rsidR="00242CFD" w:rsidRPr="001A6A33" w:rsidRDefault="00242CFD">
      <w:pPr>
        <w:tabs>
          <w:tab w:val="left" w:pos="720"/>
          <w:tab w:val="left" w:pos="1440"/>
          <w:tab w:val="left" w:pos="8460"/>
        </w:tabs>
        <w:suppressAutoHyphens/>
        <w:rPr>
          <w:rFonts w:ascii="Arial" w:hAnsi="Arial" w:cs="Arial"/>
          <w:spacing w:val="-3"/>
          <w:szCs w:val="24"/>
        </w:rPr>
      </w:pPr>
    </w:p>
    <w:p w14:paraId="2023CB60" w14:textId="77777777" w:rsidR="00242CFD" w:rsidRPr="001A6A33" w:rsidRDefault="00242CFD">
      <w:pPr>
        <w:tabs>
          <w:tab w:val="left" w:pos="3300"/>
        </w:tabs>
        <w:suppressAutoHyphens/>
        <w:rPr>
          <w:rFonts w:ascii="Arial" w:hAnsi="Arial" w:cs="Arial"/>
          <w:spacing w:val="-3"/>
          <w:szCs w:val="24"/>
        </w:rPr>
      </w:pPr>
      <w:r w:rsidRPr="001A6A33">
        <w:rPr>
          <w:rFonts w:ascii="Arial" w:hAnsi="Arial" w:cs="Arial"/>
          <w:spacing w:val="-3"/>
          <w:szCs w:val="24"/>
        </w:rPr>
        <w:tab/>
      </w:r>
    </w:p>
    <w:p w14:paraId="183DED68" w14:textId="77777777" w:rsidR="00242CFD" w:rsidRPr="001A6A33" w:rsidRDefault="00242CFD">
      <w:pPr>
        <w:tabs>
          <w:tab w:val="left" w:pos="720"/>
          <w:tab w:val="left" w:pos="1440"/>
          <w:tab w:val="left" w:pos="8460"/>
        </w:tabs>
        <w:suppressAutoHyphens/>
        <w:rPr>
          <w:rFonts w:ascii="Arial" w:hAnsi="Arial" w:cs="Arial"/>
          <w:spacing w:val="-3"/>
          <w:szCs w:val="24"/>
        </w:rPr>
      </w:pPr>
    </w:p>
    <w:p w14:paraId="1AC965DB" w14:textId="77777777" w:rsidR="00242CFD" w:rsidRPr="001A6A33" w:rsidRDefault="00242CFD">
      <w:pPr>
        <w:tabs>
          <w:tab w:val="left" w:pos="720"/>
          <w:tab w:val="left" w:pos="1440"/>
          <w:tab w:val="left" w:pos="8640"/>
        </w:tabs>
        <w:suppressAutoHyphens/>
        <w:rPr>
          <w:rFonts w:ascii="Arial" w:hAnsi="Arial" w:cs="Arial"/>
          <w:spacing w:val="-3"/>
          <w:szCs w:val="24"/>
        </w:rPr>
      </w:pPr>
    </w:p>
    <w:p w14:paraId="3B554971" w14:textId="77777777" w:rsidR="00242CFD" w:rsidRPr="001A6A33" w:rsidRDefault="00920FE9">
      <w:pPr>
        <w:pStyle w:val="Document1"/>
        <w:keepNext w:val="0"/>
        <w:keepLines w:val="0"/>
        <w:tabs>
          <w:tab w:val="clear" w:pos="-720"/>
          <w:tab w:val="right" w:leader="dot" w:pos="8820"/>
        </w:tabs>
        <w:rPr>
          <w:rFonts w:ascii="Arial" w:hAnsi="Arial" w:cs="Arial"/>
          <w:spacing w:val="-3"/>
          <w:szCs w:val="24"/>
        </w:rPr>
      </w:pPr>
      <w:r w:rsidRPr="001A6A33">
        <w:rPr>
          <w:rFonts w:ascii="Arial" w:hAnsi="Arial" w:cs="Arial"/>
          <w:spacing w:val="-3"/>
          <w:szCs w:val="24"/>
        </w:rPr>
        <w:t>Performance Audit</w:t>
      </w:r>
      <w:r w:rsidR="00242CFD" w:rsidRPr="001A6A33">
        <w:rPr>
          <w:rFonts w:ascii="Arial" w:hAnsi="Arial" w:cs="Arial"/>
          <w:spacing w:val="-3"/>
          <w:szCs w:val="24"/>
        </w:rPr>
        <w:t xml:space="preserve"> Report </w:t>
      </w:r>
      <w:r w:rsidR="00242CFD" w:rsidRPr="001A6A33">
        <w:rPr>
          <w:rFonts w:ascii="Arial" w:hAnsi="Arial" w:cs="Arial"/>
          <w:spacing w:val="-3"/>
          <w:szCs w:val="24"/>
        </w:rPr>
        <w:tab/>
        <w:t>1</w:t>
      </w:r>
    </w:p>
    <w:p w14:paraId="51EF4772" w14:textId="77777777" w:rsidR="00242CFD" w:rsidRPr="001A6A33" w:rsidRDefault="00242CFD">
      <w:pPr>
        <w:tabs>
          <w:tab w:val="left" w:pos="720"/>
          <w:tab w:val="left" w:pos="1440"/>
          <w:tab w:val="left" w:pos="8640"/>
        </w:tabs>
        <w:suppressAutoHyphens/>
        <w:rPr>
          <w:rFonts w:ascii="Arial" w:hAnsi="Arial" w:cs="Arial"/>
          <w:spacing w:val="-3"/>
          <w:szCs w:val="24"/>
        </w:rPr>
      </w:pPr>
    </w:p>
    <w:p w14:paraId="6394C09F" w14:textId="77777777" w:rsidR="00242CFD" w:rsidRPr="001A6A33" w:rsidRDefault="009535B6">
      <w:pPr>
        <w:tabs>
          <w:tab w:val="left" w:leader="dot" w:pos="360"/>
          <w:tab w:val="left" w:pos="1440"/>
          <w:tab w:val="right" w:leader="dot" w:pos="8820"/>
        </w:tabs>
        <w:suppressAutoHyphens/>
        <w:rPr>
          <w:rFonts w:ascii="Arial" w:hAnsi="Arial" w:cs="Arial"/>
          <w:spacing w:val="-3"/>
          <w:szCs w:val="24"/>
        </w:rPr>
      </w:pPr>
      <w:r w:rsidRPr="001A6A33">
        <w:rPr>
          <w:rFonts w:ascii="Arial" w:hAnsi="Arial" w:cs="Arial"/>
          <w:spacing w:val="-3"/>
          <w:szCs w:val="24"/>
        </w:rPr>
        <w:t>ATT 1</w:t>
      </w:r>
      <w:r w:rsidR="00CD79BD" w:rsidRPr="001A6A33">
        <w:rPr>
          <w:rFonts w:ascii="Arial" w:hAnsi="Arial" w:cs="Arial"/>
          <w:spacing w:val="-3"/>
          <w:szCs w:val="24"/>
        </w:rPr>
        <w:t xml:space="preserve"> </w:t>
      </w:r>
      <w:r w:rsidR="002212DE" w:rsidRPr="001A6A33">
        <w:rPr>
          <w:rFonts w:ascii="Arial" w:hAnsi="Arial" w:cs="Arial"/>
          <w:spacing w:val="-3"/>
          <w:szCs w:val="24"/>
        </w:rPr>
        <w:t xml:space="preserve">– </w:t>
      </w:r>
      <w:r w:rsidR="007F5A96" w:rsidRPr="001A6A33">
        <w:rPr>
          <w:rFonts w:ascii="Arial" w:hAnsi="Arial" w:cs="Arial"/>
          <w:spacing w:val="-3"/>
          <w:szCs w:val="24"/>
        </w:rPr>
        <w:t xml:space="preserve">Schedule of </w:t>
      </w:r>
      <w:r w:rsidR="002212DE" w:rsidRPr="001A6A33">
        <w:rPr>
          <w:rFonts w:ascii="Arial" w:hAnsi="Arial" w:cs="Arial"/>
          <w:spacing w:val="-3"/>
          <w:szCs w:val="24"/>
        </w:rPr>
        <w:t>Sample</w:t>
      </w:r>
      <w:r w:rsidR="00B02570" w:rsidRPr="001A6A33">
        <w:rPr>
          <w:rFonts w:ascii="Arial" w:hAnsi="Arial" w:cs="Arial"/>
          <w:spacing w:val="-3"/>
          <w:szCs w:val="24"/>
        </w:rPr>
        <w:t xml:space="preserve"> </w:t>
      </w:r>
      <w:r w:rsidR="002212DE" w:rsidRPr="001A6A33">
        <w:rPr>
          <w:rFonts w:ascii="Arial" w:hAnsi="Arial" w:cs="Arial"/>
          <w:spacing w:val="-3"/>
          <w:szCs w:val="24"/>
        </w:rPr>
        <w:t>Non-Pooled Investments</w:t>
      </w:r>
      <w:r w:rsidR="00CD79BD" w:rsidRPr="001A6A33">
        <w:rPr>
          <w:rFonts w:ascii="Arial" w:hAnsi="Arial" w:cs="Arial"/>
          <w:spacing w:val="-3"/>
          <w:szCs w:val="24"/>
        </w:rPr>
        <w:tab/>
        <w:t>4</w:t>
      </w:r>
    </w:p>
    <w:p w14:paraId="5CAE764A" w14:textId="77777777" w:rsidR="00242CFD" w:rsidRPr="001A6A33" w:rsidRDefault="00242CFD">
      <w:pPr>
        <w:tabs>
          <w:tab w:val="left" w:pos="7845"/>
        </w:tabs>
        <w:suppressAutoHyphens/>
        <w:rPr>
          <w:rFonts w:ascii="Arial" w:hAnsi="Arial" w:cs="Arial"/>
          <w:spacing w:val="-3"/>
        </w:rPr>
      </w:pPr>
      <w:r w:rsidRPr="001A6A33">
        <w:rPr>
          <w:rFonts w:ascii="Arial" w:hAnsi="Arial" w:cs="Arial"/>
          <w:spacing w:val="-3"/>
        </w:rPr>
        <w:tab/>
      </w:r>
    </w:p>
    <w:p w14:paraId="2BFCEF9E" w14:textId="77777777" w:rsidR="00242CFD" w:rsidRPr="001A6A33" w:rsidRDefault="00242CFD">
      <w:pPr>
        <w:tabs>
          <w:tab w:val="left" w:leader="dot" w:pos="360"/>
          <w:tab w:val="left" w:pos="1440"/>
          <w:tab w:val="right" w:leader="dot" w:pos="8820"/>
        </w:tabs>
        <w:suppressAutoHyphens/>
        <w:rPr>
          <w:rFonts w:ascii="Arial" w:hAnsi="Arial" w:cs="Arial"/>
          <w:spacing w:val="-3"/>
        </w:rPr>
      </w:pPr>
    </w:p>
    <w:p w14:paraId="2181481B" w14:textId="77777777" w:rsidR="002030C9" w:rsidRPr="001A6A33" w:rsidRDefault="00676A41" w:rsidP="00676A41">
      <w:pPr>
        <w:tabs>
          <w:tab w:val="left" w:pos="6050"/>
        </w:tabs>
        <w:suppressAutoHyphens/>
        <w:rPr>
          <w:rFonts w:ascii="Arial" w:hAnsi="Arial" w:cs="Arial"/>
          <w:spacing w:val="-3"/>
        </w:rPr>
      </w:pPr>
      <w:r w:rsidRPr="001A6A33">
        <w:rPr>
          <w:rFonts w:ascii="Arial" w:hAnsi="Arial" w:cs="Arial"/>
          <w:spacing w:val="-3"/>
        </w:rPr>
        <w:tab/>
      </w:r>
    </w:p>
    <w:p w14:paraId="77B80720" w14:textId="77777777" w:rsidR="002030C9" w:rsidRPr="001A6A33" w:rsidRDefault="00642EE2" w:rsidP="00642EE2">
      <w:pPr>
        <w:tabs>
          <w:tab w:val="left" w:pos="5670"/>
        </w:tabs>
        <w:rPr>
          <w:rFonts w:ascii="Arial" w:hAnsi="Arial" w:cs="Arial"/>
        </w:rPr>
      </w:pPr>
      <w:r w:rsidRPr="001A6A33">
        <w:rPr>
          <w:rFonts w:ascii="Arial" w:hAnsi="Arial" w:cs="Arial"/>
        </w:rPr>
        <w:tab/>
      </w:r>
    </w:p>
    <w:p w14:paraId="69F6563A" w14:textId="77777777" w:rsidR="002030C9" w:rsidRPr="001A6A33" w:rsidRDefault="002030C9" w:rsidP="002030C9">
      <w:pPr>
        <w:rPr>
          <w:rFonts w:ascii="Arial" w:hAnsi="Arial" w:cs="Arial"/>
        </w:rPr>
      </w:pPr>
    </w:p>
    <w:p w14:paraId="2A56D5CC" w14:textId="77777777" w:rsidR="002030C9" w:rsidRPr="001A6A33" w:rsidRDefault="002030C9" w:rsidP="002030C9">
      <w:pPr>
        <w:rPr>
          <w:rFonts w:ascii="Arial" w:hAnsi="Arial" w:cs="Arial"/>
        </w:rPr>
      </w:pPr>
    </w:p>
    <w:p w14:paraId="6054CE12" w14:textId="77777777" w:rsidR="002030C9" w:rsidRPr="001A6A33" w:rsidRDefault="002030C9" w:rsidP="002030C9">
      <w:pPr>
        <w:rPr>
          <w:rFonts w:ascii="Arial" w:hAnsi="Arial" w:cs="Arial"/>
        </w:rPr>
      </w:pPr>
    </w:p>
    <w:p w14:paraId="30727603" w14:textId="77777777" w:rsidR="002030C9" w:rsidRPr="001A6A33" w:rsidRDefault="002030C9" w:rsidP="002030C9">
      <w:pPr>
        <w:rPr>
          <w:rFonts w:ascii="Arial" w:hAnsi="Arial" w:cs="Arial"/>
        </w:rPr>
      </w:pPr>
    </w:p>
    <w:p w14:paraId="32261307" w14:textId="77777777" w:rsidR="002030C9" w:rsidRPr="001A6A33" w:rsidRDefault="002030C9" w:rsidP="002030C9">
      <w:pPr>
        <w:rPr>
          <w:rFonts w:ascii="Arial" w:hAnsi="Arial" w:cs="Arial"/>
        </w:rPr>
      </w:pPr>
    </w:p>
    <w:p w14:paraId="79B4C762" w14:textId="77777777" w:rsidR="002030C9" w:rsidRPr="001A6A33" w:rsidRDefault="002030C9" w:rsidP="002030C9">
      <w:pPr>
        <w:rPr>
          <w:rFonts w:ascii="Arial" w:hAnsi="Arial" w:cs="Arial"/>
        </w:rPr>
      </w:pPr>
    </w:p>
    <w:p w14:paraId="2752049F" w14:textId="77777777" w:rsidR="002030C9" w:rsidRPr="001A6A33" w:rsidRDefault="002030C9" w:rsidP="002030C9">
      <w:pPr>
        <w:rPr>
          <w:rFonts w:ascii="Arial" w:hAnsi="Arial" w:cs="Arial"/>
        </w:rPr>
      </w:pPr>
    </w:p>
    <w:p w14:paraId="108811B8" w14:textId="77777777" w:rsidR="002030C9" w:rsidRPr="001A6A33" w:rsidRDefault="002030C9" w:rsidP="002030C9">
      <w:pPr>
        <w:rPr>
          <w:rFonts w:ascii="Arial" w:hAnsi="Arial" w:cs="Arial"/>
        </w:rPr>
      </w:pPr>
    </w:p>
    <w:p w14:paraId="4F1C7E09" w14:textId="77777777" w:rsidR="002030C9" w:rsidRPr="001A6A33" w:rsidRDefault="002030C9" w:rsidP="002030C9">
      <w:pPr>
        <w:rPr>
          <w:rFonts w:ascii="Arial" w:hAnsi="Arial" w:cs="Arial"/>
        </w:rPr>
      </w:pPr>
    </w:p>
    <w:p w14:paraId="131BEFF8" w14:textId="77777777" w:rsidR="002030C9" w:rsidRPr="001A6A33" w:rsidRDefault="002030C9" w:rsidP="002030C9">
      <w:pPr>
        <w:rPr>
          <w:rFonts w:ascii="Arial" w:hAnsi="Arial" w:cs="Arial"/>
        </w:rPr>
      </w:pPr>
    </w:p>
    <w:p w14:paraId="31D1C89F" w14:textId="77777777" w:rsidR="002030C9" w:rsidRPr="001A6A33" w:rsidRDefault="002030C9" w:rsidP="002030C9">
      <w:pPr>
        <w:rPr>
          <w:rFonts w:ascii="Arial" w:hAnsi="Arial" w:cs="Arial"/>
        </w:rPr>
      </w:pPr>
    </w:p>
    <w:p w14:paraId="580A5932" w14:textId="77777777" w:rsidR="002030C9" w:rsidRPr="001A6A33" w:rsidRDefault="002030C9" w:rsidP="002030C9">
      <w:pPr>
        <w:rPr>
          <w:rFonts w:ascii="Arial" w:hAnsi="Arial" w:cs="Arial"/>
        </w:rPr>
      </w:pPr>
    </w:p>
    <w:p w14:paraId="200CC069" w14:textId="77777777" w:rsidR="002030C9" w:rsidRPr="001A6A33" w:rsidRDefault="002030C9" w:rsidP="002030C9">
      <w:pPr>
        <w:rPr>
          <w:rFonts w:ascii="Arial" w:hAnsi="Arial" w:cs="Arial"/>
        </w:rPr>
      </w:pPr>
    </w:p>
    <w:p w14:paraId="243E4F8B" w14:textId="77777777" w:rsidR="002030C9" w:rsidRPr="001A6A33" w:rsidRDefault="002030C9" w:rsidP="002030C9">
      <w:pPr>
        <w:rPr>
          <w:rFonts w:ascii="Arial" w:hAnsi="Arial" w:cs="Arial"/>
        </w:rPr>
      </w:pPr>
    </w:p>
    <w:p w14:paraId="057E4158" w14:textId="77777777" w:rsidR="002030C9" w:rsidRPr="001A6A33" w:rsidRDefault="002030C9" w:rsidP="002030C9">
      <w:pPr>
        <w:rPr>
          <w:rFonts w:ascii="Arial" w:hAnsi="Arial" w:cs="Arial"/>
        </w:rPr>
      </w:pPr>
    </w:p>
    <w:p w14:paraId="579D8923" w14:textId="77777777" w:rsidR="002030C9" w:rsidRPr="001A6A33" w:rsidRDefault="002030C9" w:rsidP="002030C9">
      <w:pPr>
        <w:rPr>
          <w:rFonts w:ascii="Arial" w:hAnsi="Arial" w:cs="Arial"/>
        </w:rPr>
      </w:pPr>
    </w:p>
    <w:p w14:paraId="51A2D815" w14:textId="77777777" w:rsidR="002030C9" w:rsidRPr="001A6A33" w:rsidRDefault="002030C9" w:rsidP="002030C9">
      <w:pPr>
        <w:rPr>
          <w:rFonts w:ascii="Arial" w:hAnsi="Arial" w:cs="Arial"/>
        </w:rPr>
      </w:pPr>
    </w:p>
    <w:p w14:paraId="6F488BB2" w14:textId="77777777" w:rsidR="002030C9" w:rsidRPr="001A6A33" w:rsidRDefault="002030C9" w:rsidP="002030C9">
      <w:pPr>
        <w:rPr>
          <w:rFonts w:ascii="Arial" w:hAnsi="Arial" w:cs="Arial"/>
        </w:rPr>
      </w:pPr>
    </w:p>
    <w:p w14:paraId="4D242559" w14:textId="77777777" w:rsidR="00242CFD" w:rsidRPr="001A6A33" w:rsidRDefault="002030C9" w:rsidP="002030C9">
      <w:pPr>
        <w:tabs>
          <w:tab w:val="left" w:pos="6615"/>
        </w:tabs>
        <w:rPr>
          <w:rFonts w:ascii="Arial" w:hAnsi="Arial" w:cs="Arial"/>
        </w:rPr>
      </w:pPr>
      <w:r w:rsidRPr="001A6A33">
        <w:rPr>
          <w:rFonts w:ascii="Arial" w:hAnsi="Arial" w:cs="Arial"/>
        </w:rPr>
        <w:tab/>
      </w:r>
    </w:p>
    <w:p w14:paraId="4FF4C351" w14:textId="77777777" w:rsidR="001A6A33" w:rsidRPr="001A6A33" w:rsidRDefault="001A6A33" w:rsidP="002030C9">
      <w:pPr>
        <w:tabs>
          <w:tab w:val="left" w:pos="6615"/>
        </w:tabs>
        <w:rPr>
          <w:rFonts w:ascii="Arial" w:hAnsi="Arial" w:cs="Arial"/>
        </w:rPr>
      </w:pPr>
    </w:p>
    <w:p w14:paraId="22D6EF9E" w14:textId="77777777" w:rsidR="001A6A33" w:rsidRPr="001A6A33" w:rsidRDefault="001A6A33" w:rsidP="002030C9">
      <w:pPr>
        <w:tabs>
          <w:tab w:val="left" w:pos="6615"/>
        </w:tabs>
        <w:rPr>
          <w:rFonts w:ascii="Arial" w:hAnsi="Arial" w:cs="Arial"/>
        </w:rPr>
      </w:pPr>
    </w:p>
    <w:p w14:paraId="3858645B" w14:textId="77777777" w:rsidR="001A6A33" w:rsidRPr="001A6A33" w:rsidRDefault="001A6A33" w:rsidP="002030C9">
      <w:pPr>
        <w:tabs>
          <w:tab w:val="left" w:pos="6615"/>
        </w:tabs>
        <w:rPr>
          <w:rFonts w:ascii="Arial" w:hAnsi="Arial" w:cs="Arial"/>
        </w:rPr>
      </w:pPr>
    </w:p>
    <w:p w14:paraId="7EF207E5" w14:textId="77777777" w:rsidR="001A6A33" w:rsidRPr="001A6A33" w:rsidRDefault="001A6A33" w:rsidP="002030C9">
      <w:pPr>
        <w:tabs>
          <w:tab w:val="left" w:pos="6615"/>
        </w:tabs>
        <w:rPr>
          <w:rFonts w:ascii="Arial" w:hAnsi="Arial" w:cs="Arial"/>
        </w:rPr>
      </w:pPr>
    </w:p>
    <w:p w14:paraId="132EFB57" w14:textId="77777777" w:rsidR="001A6A33" w:rsidRPr="001A6A33" w:rsidRDefault="001A6A33" w:rsidP="002030C9">
      <w:pPr>
        <w:tabs>
          <w:tab w:val="left" w:pos="6615"/>
        </w:tabs>
        <w:rPr>
          <w:rFonts w:ascii="Arial" w:hAnsi="Arial" w:cs="Arial"/>
        </w:rPr>
      </w:pPr>
    </w:p>
    <w:p w14:paraId="4C9DB14A" w14:textId="77777777" w:rsidR="001A6A33" w:rsidRPr="001A6A33" w:rsidRDefault="001A6A33" w:rsidP="002030C9">
      <w:pPr>
        <w:tabs>
          <w:tab w:val="left" w:pos="6615"/>
        </w:tabs>
        <w:rPr>
          <w:rFonts w:ascii="Arial" w:hAnsi="Arial" w:cs="Arial"/>
        </w:rPr>
      </w:pPr>
    </w:p>
    <w:p w14:paraId="2173A557" w14:textId="77777777" w:rsidR="001A6A33" w:rsidRPr="001A6A33" w:rsidRDefault="001A6A33" w:rsidP="002030C9">
      <w:pPr>
        <w:tabs>
          <w:tab w:val="left" w:pos="6615"/>
        </w:tabs>
        <w:rPr>
          <w:rFonts w:ascii="Arial" w:hAnsi="Arial" w:cs="Arial"/>
        </w:rPr>
      </w:pPr>
    </w:p>
    <w:p w14:paraId="07E6ACD8" w14:textId="77777777" w:rsidR="001A6A33" w:rsidRPr="001A6A33" w:rsidRDefault="001A6A33" w:rsidP="002030C9">
      <w:pPr>
        <w:tabs>
          <w:tab w:val="left" w:pos="6615"/>
        </w:tabs>
        <w:rPr>
          <w:rFonts w:ascii="Arial" w:hAnsi="Arial" w:cs="Arial"/>
        </w:rPr>
      </w:pPr>
    </w:p>
    <w:p w14:paraId="48C5A5E7" w14:textId="617A720C" w:rsidR="001A6A33" w:rsidRPr="001A6A33" w:rsidRDefault="001A6A33">
      <w:pPr>
        <w:rPr>
          <w:rFonts w:ascii="Arial" w:hAnsi="Arial" w:cs="Arial"/>
        </w:rPr>
      </w:pPr>
      <w:r w:rsidRPr="001A6A33">
        <w:rPr>
          <w:rFonts w:ascii="Arial" w:hAnsi="Arial" w:cs="Arial"/>
        </w:rPr>
        <w:br w:type="page"/>
      </w:r>
    </w:p>
    <w:p w14:paraId="3773BBF2" w14:textId="77777777" w:rsidR="001A6A33" w:rsidRPr="001A6A33" w:rsidRDefault="001A6A33" w:rsidP="002030C9">
      <w:pPr>
        <w:tabs>
          <w:tab w:val="left" w:pos="6615"/>
        </w:tabs>
        <w:rPr>
          <w:rFonts w:ascii="Arial" w:hAnsi="Arial" w:cs="Arial"/>
        </w:rPr>
        <w:sectPr w:rsidR="001A6A33" w:rsidRPr="001A6A33">
          <w:headerReference w:type="even" r:id="rId10"/>
          <w:headerReference w:type="default" r:id="rId11"/>
          <w:footerReference w:type="default" r:id="rId12"/>
          <w:headerReference w:type="first" r:id="rId13"/>
          <w:endnotePr>
            <w:numFmt w:val="decimal"/>
          </w:endnotePr>
          <w:pgSz w:w="12240" w:h="15840" w:code="1"/>
          <w:pgMar w:top="1872" w:right="1440" w:bottom="1440" w:left="1800" w:header="720" w:footer="720" w:gutter="0"/>
          <w:pgNumType w:start="1"/>
          <w:cols w:space="720"/>
          <w:noEndnote/>
        </w:sectPr>
      </w:pPr>
    </w:p>
    <w:p w14:paraId="159BAA7C" w14:textId="77777777" w:rsidR="001A6A33" w:rsidRPr="001A6A33" w:rsidRDefault="001A6A33" w:rsidP="001A6A33">
      <w:pPr>
        <w:rPr>
          <w:rFonts w:ascii="Arial" w:hAnsi="Arial" w:cs="Arial"/>
          <w:sz w:val="4"/>
          <w:szCs w:val="4"/>
        </w:rPr>
        <w:sectPr w:rsidR="001A6A33" w:rsidRPr="001A6A33" w:rsidSect="001A6A33">
          <w:headerReference w:type="default" r:id="rId14"/>
          <w:footerReference w:type="default" r:id="rId15"/>
          <w:headerReference w:type="first" r:id="rId16"/>
          <w:footerReference w:type="first" r:id="rId17"/>
          <w:pgSz w:w="12240" w:h="15840" w:code="1"/>
          <w:pgMar w:top="1080" w:right="720" w:bottom="432" w:left="792" w:header="274" w:footer="720" w:gutter="0"/>
          <w:cols w:space="720"/>
          <w:titlePg/>
          <w:docGrid w:linePitch="360"/>
        </w:sectPr>
      </w:pPr>
    </w:p>
    <w:p w14:paraId="0FE8231A" w14:textId="77777777" w:rsidR="001A6A33" w:rsidRPr="001A6A33" w:rsidRDefault="001A6A33" w:rsidP="001A6A33">
      <w:pPr>
        <w:tabs>
          <w:tab w:val="left" w:pos="1440"/>
          <w:tab w:val="left" w:pos="4320"/>
        </w:tabs>
        <w:suppressAutoHyphens/>
        <w:jc w:val="both"/>
        <w:rPr>
          <w:rFonts w:ascii="Arial" w:hAnsi="Arial" w:cs="Arial"/>
        </w:rPr>
      </w:pPr>
      <w:bookmarkStart w:id="1" w:name="_Hlk149901740"/>
    </w:p>
    <w:p w14:paraId="57975DEE" w14:textId="1B74A79E" w:rsidR="001A6A33" w:rsidRPr="001A6A33" w:rsidRDefault="001A6A33" w:rsidP="001A6A33">
      <w:pPr>
        <w:tabs>
          <w:tab w:val="left" w:pos="1440"/>
          <w:tab w:val="left" w:pos="4320"/>
        </w:tabs>
        <w:suppressAutoHyphens/>
        <w:jc w:val="both"/>
        <w:rPr>
          <w:rFonts w:ascii="Arial" w:hAnsi="Arial" w:cs="Arial"/>
        </w:rPr>
      </w:pPr>
      <w:r w:rsidRPr="001A6A33">
        <w:rPr>
          <w:rFonts w:ascii="Arial" w:hAnsi="Arial" w:cs="Arial"/>
        </w:rPr>
        <w:t>May 1, 2026</w:t>
      </w:r>
    </w:p>
    <w:p w14:paraId="64FB6A38" w14:textId="77777777" w:rsidR="001A6A33" w:rsidRPr="001A6A33" w:rsidRDefault="001A6A33" w:rsidP="001A6A33">
      <w:pPr>
        <w:tabs>
          <w:tab w:val="left" w:pos="1440"/>
        </w:tabs>
        <w:suppressAutoHyphens/>
        <w:jc w:val="both"/>
        <w:rPr>
          <w:rFonts w:ascii="Arial" w:hAnsi="Arial" w:cs="Arial"/>
          <w:spacing w:val="-3"/>
        </w:rPr>
      </w:pPr>
    </w:p>
    <w:p w14:paraId="1C26E2BA" w14:textId="77777777" w:rsidR="001A6A33" w:rsidRPr="001A6A33" w:rsidRDefault="001A6A33" w:rsidP="001A6A33">
      <w:pPr>
        <w:tabs>
          <w:tab w:val="left" w:pos="1440"/>
        </w:tabs>
        <w:suppressAutoHyphens/>
        <w:jc w:val="both"/>
        <w:rPr>
          <w:rFonts w:ascii="Arial" w:hAnsi="Arial" w:cs="Arial"/>
          <w:spacing w:val="-3"/>
        </w:rPr>
      </w:pPr>
    </w:p>
    <w:p w14:paraId="1AD4C121" w14:textId="77777777" w:rsidR="001A6A33" w:rsidRPr="001A6A33" w:rsidRDefault="001A6A33" w:rsidP="001A6A33">
      <w:pPr>
        <w:tabs>
          <w:tab w:val="left" w:pos="1440"/>
        </w:tabs>
        <w:suppressAutoHyphens/>
        <w:jc w:val="both"/>
        <w:rPr>
          <w:rFonts w:ascii="Arial" w:hAnsi="Arial" w:cs="Arial"/>
          <w:spacing w:val="-3"/>
        </w:rPr>
      </w:pPr>
      <w:r w:rsidRPr="001A6A33">
        <w:rPr>
          <w:rFonts w:ascii="Arial" w:hAnsi="Arial" w:cs="Arial"/>
          <w:spacing w:val="-3"/>
        </w:rPr>
        <w:t xml:space="preserve">The Honorable Board of Supervisors and </w:t>
      </w:r>
    </w:p>
    <w:p w14:paraId="6F01D45F" w14:textId="77777777" w:rsidR="001A6A33" w:rsidRPr="001A6A33" w:rsidRDefault="001A6A33" w:rsidP="001A6A33">
      <w:pPr>
        <w:tabs>
          <w:tab w:val="left" w:pos="1440"/>
        </w:tabs>
        <w:suppressAutoHyphens/>
        <w:jc w:val="both"/>
        <w:rPr>
          <w:rFonts w:ascii="Arial" w:hAnsi="Arial" w:cs="Arial"/>
          <w:spacing w:val="-3"/>
        </w:rPr>
      </w:pPr>
      <w:r w:rsidRPr="001A6A33">
        <w:rPr>
          <w:rFonts w:ascii="Arial" w:hAnsi="Arial" w:cs="Arial"/>
          <w:spacing w:val="-3"/>
        </w:rPr>
        <w:t>The Sacramento County Treasury Oversight Committee</w:t>
      </w:r>
    </w:p>
    <w:p w14:paraId="343D21FF" w14:textId="77777777" w:rsidR="001A6A33" w:rsidRPr="001A6A33" w:rsidRDefault="001A6A33" w:rsidP="001A6A33">
      <w:pPr>
        <w:tabs>
          <w:tab w:val="left" w:pos="1440"/>
        </w:tabs>
        <w:suppressAutoHyphens/>
        <w:jc w:val="both"/>
        <w:rPr>
          <w:rFonts w:ascii="Arial" w:hAnsi="Arial" w:cs="Arial"/>
          <w:spacing w:val="-3"/>
        </w:rPr>
      </w:pPr>
      <w:r w:rsidRPr="001A6A33">
        <w:rPr>
          <w:rFonts w:ascii="Arial" w:hAnsi="Arial" w:cs="Arial"/>
          <w:spacing w:val="-3"/>
        </w:rPr>
        <w:t>County of Sacramento, California</w:t>
      </w:r>
    </w:p>
    <w:p w14:paraId="284DF341" w14:textId="77777777" w:rsidR="001A6A33" w:rsidRPr="001A6A33" w:rsidRDefault="001A6A33" w:rsidP="001A6A33">
      <w:pPr>
        <w:tabs>
          <w:tab w:val="left" w:pos="1440"/>
        </w:tabs>
        <w:suppressAutoHyphens/>
        <w:jc w:val="both"/>
        <w:rPr>
          <w:rFonts w:ascii="Arial" w:hAnsi="Arial" w:cs="Arial"/>
          <w:spacing w:val="-3"/>
        </w:rPr>
      </w:pPr>
    </w:p>
    <w:p w14:paraId="5179C041" w14:textId="77777777" w:rsidR="001A6A33" w:rsidRPr="001A6A33" w:rsidRDefault="001A6A33" w:rsidP="001A6A33">
      <w:pPr>
        <w:tabs>
          <w:tab w:val="left" w:pos="1440"/>
        </w:tabs>
        <w:suppressAutoHyphens/>
        <w:jc w:val="both"/>
        <w:rPr>
          <w:rFonts w:ascii="Arial" w:hAnsi="Arial" w:cs="Arial"/>
          <w:spacing w:val="-3"/>
        </w:rPr>
      </w:pPr>
    </w:p>
    <w:p w14:paraId="46D16DEE" w14:textId="77777777" w:rsidR="001A6A33" w:rsidRPr="001A6A33" w:rsidRDefault="001A6A33" w:rsidP="001A6A33">
      <w:pPr>
        <w:widowControl w:val="0"/>
        <w:tabs>
          <w:tab w:val="left" w:pos="1440"/>
          <w:tab w:val="right" w:leader="dot" w:pos="9270"/>
        </w:tabs>
        <w:jc w:val="both"/>
        <w:rPr>
          <w:rFonts w:ascii="Arial" w:hAnsi="Arial" w:cs="Arial"/>
        </w:rPr>
      </w:pPr>
      <w:r w:rsidRPr="001A6A33">
        <w:rPr>
          <w:rFonts w:ascii="Arial" w:hAnsi="Arial" w:cs="Arial"/>
        </w:rPr>
        <w:t xml:space="preserve">We have audited the County of Sacramento (County) Non-Pooled Investment Funds (Fund) for the quarter ended March 31, 2026. </w:t>
      </w:r>
    </w:p>
    <w:p w14:paraId="6B732803" w14:textId="77777777" w:rsidR="001A6A33" w:rsidRPr="001A6A33" w:rsidRDefault="001A6A33" w:rsidP="001A6A33">
      <w:pPr>
        <w:widowControl w:val="0"/>
        <w:tabs>
          <w:tab w:val="left" w:pos="1440"/>
          <w:tab w:val="right" w:leader="dot" w:pos="9270"/>
        </w:tabs>
        <w:jc w:val="both"/>
        <w:rPr>
          <w:rFonts w:ascii="Arial" w:hAnsi="Arial" w:cs="Arial"/>
        </w:rPr>
      </w:pPr>
    </w:p>
    <w:p w14:paraId="3BD2F227" w14:textId="77777777" w:rsidR="001A6A33" w:rsidRPr="001A6A33" w:rsidRDefault="001A6A33" w:rsidP="001A6A33">
      <w:pPr>
        <w:widowControl w:val="0"/>
        <w:tabs>
          <w:tab w:val="left" w:pos="1440"/>
          <w:tab w:val="right" w:leader="dot" w:pos="9270"/>
        </w:tabs>
        <w:jc w:val="both"/>
        <w:rPr>
          <w:rFonts w:ascii="Arial" w:hAnsi="Arial" w:cs="Arial"/>
        </w:rPr>
      </w:pPr>
      <w:r w:rsidRPr="001A6A33">
        <w:rPr>
          <w:rFonts w:ascii="Arial" w:hAnsi="Arial" w:cs="Arial"/>
        </w:rPr>
        <w:t xml:space="preserve">Our audit was conducted to verify the Fund’s compliance as described below for the quarter ended March 31, 2026, and to verify whether the Department of Finance, Treasury Division (Treasury) and Investment Division (Investment) have adequate internal controls to ensure the Fund’s compliance with their bond resolutions, bond indentures, or by the bond insurers (governing bond documents), and </w:t>
      </w:r>
      <w:bookmarkStart w:id="2" w:name="_Hlk172801266"/>
      <w:r w:rsidRPr="001A6A33">
        <w:rPr>
          <w:rFonts w:ascii="Arial" w:hAnsi="Arial" w:cs="Arial"/>
        </w:rPr>
        <w:t>applicable laws and regulations</w:t>
      </w:r>
      <w:bookmarkEnd w:id="2"/>
      <w:r w:rsidRPr="001A6A33">
        <w:rPr>
          <w:rFonts w:ascii="Arial" w:hAnsi="Arial" w:cs="Arial"/>
        </w:rPr>
        <w:t>.</w:t>
      </w:r>
    </w:p>
    <w:p w14:paraId="26A08DC6" w14:textId="77777777" w:rsidR="001A6A33" w:rsidRPr="001A6A33" w:rsidRDefault="001A6A33" w:rsidP="001A6A33">
      <w:pPr>
        <w:widowControl w:val="0"/>
        <w:tabs>
          <w:tab w:val="left" w:pos="1440"/>
          <w:tab w:val="right" w:leader="dot" w:pos="9270"/>
        </w:tabs>
        <w:jc w:val="both"/>
        <w:rPr>
          <w:rFonts w:ascii="Arial" w:hAnsi="Arial" w:cs="Arial"/>
        </w:rPr>
      </w:pPr>
    </w:p>
    <w:p w14:paraId="786BA2F8" w14:textId="77777777" w:rsidR="001A6A33" w:rsidRPr="001A6A33" w:rsidRDefault="001A6A33" w:rsidP="001A6A33">
      <w:pPr>
        <w:widowControl w:val="0"/>
        <w:tabs>
          <w:tab w:val="left" w:pos="1440"/>
        </w:tabs>
        <w:jc w:val="both"/>
        <w:rPr>
          <w:rFonts w:ascii="Arial" w:hAnsi="Arial" w:cs="Arial"/>
        </w:rPr>
      </w:pPr>
      <w:r w:rsidRPr="001A6A33">
        <w:rPr>
          <w:rFonts w:ascii="Arial" w:hAnsi="Arial" w:cs="Arial"/>
        </w:rPr>
        <w:t xml:space="preserve">Non-Pooled Investments primarily consist of investments purchased with proceeds from Mello </w:t>
      </w:r>
      <w:proofErr w:type="spellStart"/>
      <w:r w:rsidRPr="001A6A33">
        <w:rPr>
          <w:rFonts w:ascii="Arial" w:hAnsi="Arial" w:cs="Arial"/>
        </w:rPr>
        <w:t>Roos</w:t>
      </w:r>
      <w:proofErr w:type="spellEnd"/>
      <w:r w:rsidRPr="001A6A33">
        <w:rPr>
          <w:rFonts w:ascii="Arial" w:hAnsi="Arial" w:cs="Arial"/>
        </w:rPr>
        <w:t xml:space="preserve"> Bonds (MR), Revenue Bonds (REV), General Obligation Bonds (GO), Assessment District Bonds (AD), Community Facilities District Bonds (CFD), and Certificates of Participation Notes (COPs). </w:t>
      </w:r>
    </w:p>
    <w:p w14:paraId="5457ED38" w14:textId="77777777" w:rsidR="001A6A33" w:rsidRPr="001A6A33" w:rsidRDefault="001A6A33" w:rsidP="001A6A33">
      <w:pPr>
        <w:widowControl w:val="0"/>
        <w:tabs>
          <w:tab w:val="left" w:pos="1440"/>
          <w:tab w:val="right" w:leader="dot" w:pos="9270"/>
        </w:tabs>
        <w:jc w:val="both"/>
        <w:rPr>
          <w:rFonts w:ascii="Arial" w:hAnsi="Arial" w:cs="Arial"/>
        </w:rPr>
      </w:pPr>
    </w:p>
    <w:p w14:paraId="4C345130" w14:textId="77777777" w:rsidR="001A6A33" w:rsidRPr="001A6A33" w:rsidRDefault="001A6A33" w:rsidP="001A6A33">
      <w:pPr>
        <w:widowControl w:val="0"/>
        <w:tabs>
          <w:tab w:val="left" w:pos="1440"/>
          <w:tab w:val="right" w:leader="dot" w:pos="9270"/>
        </w:tabs>
        <w:jc w:val="both"/>
        <w:rPr>
          <w:rFonts w:ascii="Arial" w:hAnsi="Arial" w:cs="Arial"/>
        </w:rPr>
      </w:pPr>
      <w:r w:rsidRPr="001A6A33">
        <w:rPr>
          <w:rFonts w:ascii="Arial" w:hAnsi="Arial" w:cs="Arial"/>
        </w:rPr>
        <w:t>Most of the bond investments are limited to those authorized by California Government Code Section 53601 et seq. Any other authorized investments are indicated in the governing bond documents.</w:t>
      </w:r>
    </w:p>
    <w:p w14:paraId="0E1B8218" w14:textId="77777777" w:rsidR="001A6A33" w:rsidRPr="001A6A33" w:rsidRDefault="001A6A33" w:rsidP="001A6A33">
      <w:pPr>
        <w:widowControl w:val="0"/>
        <w:tabs>
          <w:tab w:val="left" w:pos="1440"/>
          <w:tab w:val="right" w:leader="dot" w:pos="9270"/>
        </w:tabs>
        <w:jc w:val="both"/>
        <w:rPr>
          <w:rFonts w:ascii="Arial" w:hAnsi="Arial" w:cs="Arial"/>
        </w:rPr>
      </w:pPr>
    </w:p>
    <w:p w14:paraId="505A9C86" w14:textId="77777777" w:rsidR="001A6A33" w:rsidRPr="001A6A33" w:rsidRDefault="001A6A33" w:rsidP="001A6A33">
      <w:pPr>
        <w:widowControl w:val="0"/>
        <w:tabs>
          <w:tab w:val="left" w:pos="1440"/>
          <w:tab w:val="right" w:leader="dot" w:pos="9270"/>
        </w:tabs>
        <w:jc w:val="both"/>
        <w:rPr>
          <w:rFonts w:ascii="Arial" w:hAnsi="Arial" w:cs="Arial"/>
        </w:rPr>
      </w:pPr>
      <w:r w:rsidRPr="001A6A33">
        <w:rPr>
          <w:rFonts w:ascii="Arial" w:hAnsi="Arial" w:cs="Arial"/>
        </w:rPr>
        <w:t xml:space="preserve">Management is responsible for the design, implementation, and maintenance of effective internal controls to ensure compliance with the bond documents. </w:t>
      </w:r>
    </w:p>
    <w:p w14:paraId="3F33974C" w14:textId="77777777" w:rsidR="001A6A33" w:rsidRPr="001A6A33" w:rsidRDefault="001A6A33" w:rsidP="001A6A33">
      <w:pPr>
        <w:widowControl w:val="0"/>
        <w:tabs>
          <w:tab w:val="left" w:pos="1440"/>
          <w:tab w:val="right" w:leader="dot" w:pos="9270"/>
        </w:tabs>
        <w:jc w:val="both"/>
        <w:rPr>
          <w:rFonts w:ascii="Arial" w:hAnsi="Arial" w:cs="Arial"/>
        </w:rPr>
      </w:pPr>
    </w:p>
    <w:p w14:paraId="3940178D" w14:textId="77777777" w:rsidR="001A6A33" w:rsidRPr="001A6A33" w:rsidRDefault="001A6A33" w:rsidP="001A6A33">
      <w:pPr>
        <w:widowControl w:val="0"/>
        <w:tabs>
          <w:tab w:val="left" w:pos="1440"/>
          <w:tab w:val="right" w:leader="dot" w:pos="9270"/>
        </w:tabs>
        <w:jc w:val="both"/>
        <w:rPr>
          <w:rFonts w:ascii="Arial" w:hAnsi="Arial" w:cs="Arial"/>
        </w:rPr>
      </w:pPr>
      <w:r w:rsidRPr="001A6A33">
        <w:rPr>
          <w:rFonts w:ascii="Arial" w:hAnsi="Arial" w:cs="Arial"/>
        </w:rPr>
        <w:t xml:space="preserve">The scope of our audit includes all </w:t>
      </w:r>
      <w:r w:rsidRPr="001A6A33">
        <w:rPr>
          <w:rFonts w:ascii="Arial" w:hAnsi="Arial" w:cs="Arial"/>
          <w:spacing w:val="-3"/>
        </w:rPr>
        <w:t>non-pooled investments for the quarter ended March 31, 2026</w:t>
      </w:r>
      <w:r w:rsidRPr="001A6A33">
        <w:rPr>
          <w:rFonts w:ascii="Arial" w:hAnsi="Arial" w:cs="Arial"/>
        </w:rPr>
        <w:t xml:space="preserve">.   </w:t>
      </w:r>
    </w:p>
    <w:p w14:paraId="6AD44700" w14:textId="77777777" w:rsidR="001A6A33" w:rsidRPr="001A6A33" w:rsidRDefault="001A6A33" w:rsidP="001A6A33">
      <w:pPr>
        <w:tabs>
          <w:tab w:val="left" w:pos="1440"/>
        </w:tabs>
        <w:suppressAutoHyphens/>
        <w:jc w:val="both"/>
        <w:rPr>
          <w:rFonts w:ascii="Arial" w:hAnsi="Arial" w:cs="Arial"/>
          <w:spacing w:val="-3"/>
        </w:rPr>
      </w:pPr>
    </w:p>
    <w:p w14:paraId="6CB4AF7A" w14:textId="77777777" w:rsidR="001A6A33" w:rsidRPr="001A6A33" w:rsidRDefault="001A6A33" w:rsidP="001A6A33">
      <w:pPr>
        <w:tabs>
          <w:tab w:val="left" w:pos="1440"/>
        </w:tabs>
        <w:suppressAutoHyphens/>
        <w:jc w:val="both"/>
        <w:rPr>
          <w:rFonts w:ascii="Arial" w:hAnsi="Arial" w:cs="Arial"/>
          <w:spacing w:val="-3"/>
        </w:rPr>
      </w:pPr>
      <w:r w:rsidRPr="001A6A33">
        <w:rPr>
          <w:rFonts w:ascii="Arial" w:hAnsi="Arial" w:cs="Arial"/>
          <w:spacing w:val="-3"/>
        </w:rPr>
        <w:t>The audit methodology utilized to conduct the performance audit included:</w:t>
      </w:r>
    </w:p>
    <w:p w14:paraId="6ABCCB7C" w14:textId="77777777" w:rsidR="001A6A33" w:rsidRPr="001A6A33" w:rsidRDefault="001A6A33" w:rsidP="001A6A33">
      <w:pPr>
        <w:rPr>
          <w:rFonts w:ascii="Arial" w:hAnsi="Arial" w:cs="Arial"/>
          <w:spacing w:val="-3"/>
        </w:rPr>
      </w:pPr>
    </w:p>
    <w:p w14:paraId="67D7511A" w14:textId="77777777" w:rsidR="001A6A33" w:rsidRPr="001A6A33" w:rsidRDefault="001A6A33" w:rsidP="001A6A33">
      <w:pPr>
        <w:tabs>
          <w:tab w:val="left" w:pos="1440"/>
        </w:tabs>
        <w:suppressAutoHyphens/>
        <w:jc w:val="both"/>
        <w:rPr>
          <w:rFonts w:ascii="Arial" w:hAnsi="Arial" w:cs="Arial"/>
          <w:spacing w:val="-3"/>
        </w:rPr>
      </w:pPr>
      <w:r w:rsidRPr="001A6A33">
        <w:rPr>
          <w:rFonts w:ascii="Arial" w:hAnsi="Arial" w:cs="Arial"/>
          <w:spacing w:val="-3"/>
        </w:rPr>
        <w:t>Interview:</w:t>
      </w:r>
    </w:p>
    <w:p w14:paraId="4A4F325A" w14:textId="77777777" w:rsidR="001A6A33" w:rsidRPr="001A6A33" w:rsidRDefault="001A6A33" w:rsidP="001A6A33">
      <w:pPr>
        <w:tabs>
          <w:tab w:val="left" w:pos="1440"/>
        </w:tabs>
        <w:suppressAutoHyphens/>
        <w:jc w:val="both"/>
        <w:rPr>
          <w:rFonts w:ascii="Arial" w:hAnsi="Arial" w:cs="Arial"/>
          <w:spacing w:val="-3"/>
        </w:rPr>
      </w:pPr>
    </w:p>
    <w:p w14:paraId="5B4B93B7" w14:textId="77777777" w:rsidR="001A6A33" w:rsidRPr="001A6A33" w:rsidRDefault="001A6A33" w:rsidP="001A6A33">
      <w:pPr>
        <w:pStyle w:val="ListParagraph"/>
        <w:numPr>
          <w:ilvl w:val="0"/>
          <w:numId w:val="1"/>
        </w:numPr>
        <w:tabs>
          <w:tab w:val="left" w:pos="540"/>
          <w:tab w:val="left" w:pos="630"/>
        </w:tabs>
        <w:suppressAutoHyphens/>
        <w:spacing w:before="0"/>
        <w:ind w:left="540" w:hanging="180"/>
        <w:jc w:val="both"/>
        <w:rPr>
          <w:rFonts w:ascii="Arial" w:hAnsi="Arial" w:cs="Arial"/>
          <w:spacing w:val="-3"/>
          <w:sz w:val="24"/>
        </w:rPr>
      </w:pPr>
      <w:r w:rsidRPr="001A6A33">
        <w:rPr>
          <w:rFonts w:ascii="Arial" w:hAnsi="Arial" w:cs="Arial"/>
          <w:spacing w:val="-3"/>
          <w:sz w:val="24"/>
        </w:rPr>
        <w:t>We interviewed various Treasury and Investment staff to gain an understanding of policies, procedures, and processes for verifying the Fund’s compliance with governing bond documents,</w:t>
      </w:r>
      <w:r w:rsidRPr="001A6A33">
        <w:rPr>
          <w:rFonts w:ascii="Arial" w:hAnsi="Arial" w:cs="Arial"/>
          <w:sz w:val="24"/>
        </w:rPr>
        <w:t xml:space="preserve"> and </w:t>
      </w:r>
      <w:r w:rsidRPr="001A6A33">
        <w:rPr>
          <w:rFonts w:ascii="Arial" w:hAnsi="Arial" w:cs="Arial"/>
          <w:spacing w:val="-3"/>
          <w:sz w:val="24"/>
        </w:rPr>
        <w:t>applicable laws and regulations.</w:t>
      </w:r>
    </w:p>
    <w:p w14:paraId="7D6EB855" w14:textId="77777777" w:rsidR="001A6A33" w:rsidRPr="001A6A33" w:rsidRDefault="001A6A33" w:rsidP="001A6A33">
      <w:pPr>
        <w:tabs>
          <w:tab w:val="left" w:pos="1440"/>
        </w:tabs>
        <w:suppressAutoHyphens/>
        <w:jc w:val="both"/>
        <w:rPr>
          <w:rFonts w:ascii="Arial" w:hAnsi="Arial" w:cs="Arial"/>
          <w:spacing w:val="-3"/>
        </w:rPr>
      </w:pPr>
      <w:r w:rsidRPr="001A6A33">
        <w:rPr>
          <w:rFonts w:ascii="Arial" w:hAnsi="Arial" w:cs="Arial"/>
          <w:spacing w:val="-3"/>
        </w:rPr>
        <w:lastRenderedPageBreak/>
        <w:t xml:space="preserve">Document Review: </w:t>
      </w:r>
    </w:p>
    <w:p w14:paraId="1BA28174" w14:textId="77777777" w:rsidR="001A6A33" w:rsidRPr="001A6A33" w:rsidRDefault="001A6A33" w:rsidP="001A6A33">
      <w:pPr>
        <w:tabs>
          <w:tab w:val="left" w:pos="1440"/>
        </w:tabs>
        <w:suppressAutoHyphens/>
        <w:jc w:val="both"/>
        <w:rPr>
          <w:rFonts w:ascii="Arial" w:hAnsi="Arial" w:cs="Arial"/>
          <w:spacing w:val="-3"/>
        </w:rPr>
      </w:pPr>
    </w:p>
    <w:p w14:paraId="444CFA42" w14:textId="77777777" w:rsidR="001A6A33" w:rsidRPr="001A6A33" w:rsidRDefault="001A6A33" w:rsidP="001A6A33">
      <w:pPr>
        <w:pStyle w:val="ListParagraph"/>
        <w:numPr>
          <w:ilvl w:val="0"/>
          <w:numId w:val="1"/>
        </w:numPr>
        <w:tabs>
          <w:tab w:val="left" w:pos="540"/>
        </w:tabs>
        <w:suppressAutoHyphens/>
        <w:spacing w:before="0"/>
        <w:ind w:left="540" w:hanging="180"/>
        <w:jc w:val="both"/>
        <w:rPr>
          <w:rFonts w:ascii="Arial" w:hAnsi="Arial" w:cs="Arial"/>
          <w:spacing w:val="-3"/>
          <w:sz w:val="24"/>
        </w:rPr>
      </w:pPr>
      <w:r w:rsidRPr="001A6A33">
        <w:rPr>
          <w:rFonts w:ascii="Arial" w:hAnsi="Arial" w:cs="Arial"/>
          <w:spacing w:val="-3"/>
          <w:sz w:val="24"/>
        </w:rPr>
        <w:t>We reviewed the organization chart and written documentation to understand the relevant policies, procedures, and processes and to identify any internal control weaknesses, conflicts of interest, or inadequate segregation of duties.</w:t>
      </w:r>
    </w:p>
    <w:p w14:paraId="58299BE1" w14:textId="77777777" w:rsidR="001A6A33" w:rsidRPr="001A6A33" w:rsidRDefault="001A6A33" w:rsidP="001A6A33">
      <w:pPr>
        <w:tabs>
          <w:tab w:val="left" w:pos="1440"/>
        </w:tabs>
        <w:suppressAutoHyphens/>
        <w:jc w:val="both"/>
        <w:rPr>
          <w:rFonts w:ascii="Arial" w:hAnsi="Arial" w:cs="Arial"/>
          <w:spacing w:val="-3"/>
        </w:rPr>
      </w:pPr>
    </w:p>
    <w:p w14:paraId="4F4DE1C7" w14:textId="77777777" w:rsidR="001A6A33" w:rsidRPr="001A6A33" w:rsidRDefault="001A6A33" w:rsidP="001A6A33">
      <w:pPr>
        <w:tabs>
          <w:tab w:val="left" w:pos="1440"/>
        </w:tabs>
        <w:suppressAutoHyphens/>
        <w:jc w:val="both"/>
        <w:rPr>
          <w:rFonts w:ascii="Arial" w:hAnsi="Arial" w:cs="Arial"/>
          <w:spacing w:val="-3"/>
        </w:rPr>
      </w:pPr>
      <w:r w:rsidRPr="001A6A33">
        <w:rPr>
          <w:rFonts w:ascii="Arial" w:hAnsi="Arial" w:cs="Arial"/>
          <w:spacing w:val="-3"/>
        </w:rPr>
        <w:t>Process Walkthrough and Internal Controls:</w:t>
      </w:r>
    </w:p>
    <w:p w14:paraId="79DB5D5D" w14:textId="77777777" w:rsidR="001A6A33" w:rsidRPr="001A6A33" w:rsidRDefault="001A6A33" w:rsidP="001A6A33">
      <w:pPr>
        <w:tabs>
          <w:tab w:val="left" w:pos="1440"/>
        </w:tabs>
        <w:suppressAutoHyphens/>
        <w:jc w:val="both"/>
        <w:rPr>
          <w:rFonts w:ascii="Arial" w:hAnsi="Arial" w:cs="Arial"/>
          <w:spacing w:val="-3"/>
        </w:rPr>
      </w:pPr>
    </w:p>
    <w:p w14:paraId="6F99C353" w14:textId="77777777" w:rsidR="001A6A33" w:rsidRPr="001A6A33" w:rsidRDefault="001A6A33" w:rsidP="001A6A33">
      <w:pPr>
        <w:pStyle w:val="ListParagraph"/>
        <w:numPr>
          <w:ilvl w:val="0"/>
          <w:numId w:val="1"/>
        </w:numPr>
        <w:tabs>
          <w:tab w:val="left" w:pos="540"/>
          <w:tab w:val="left" w:pos="1440"/>
        </w:tabs>
        <w:suppressAutoHyphens/>
        <w:spacing w:before="0"/>
        <w:ind w:left="540" w:hanging="180"/>
        <w:jc w:val="both"/>
        <w:rPr>
          <w:rFonts w:ascii="Arial" w:hAnsi="Arial" w:cs="Arial"/>
          <w:spacing w:val="-3"/>
          <w:sz w:val="24"/>
        </w:rPr>
      </w:pPr>
      <w:r w:rsidRPr="001A6A33">
        <w:rPr>
          <w:rFonts w:ascii="Arial" w:hAnsi="Arial" w:cs="Arial"/>
          <w:spacing w:val="-3"/>
          <w:sz w:val="24"/>
        </w:rPr>
        <w:t xml:space="preserve">We had Treasury and Investment staff walk us through step-by-step processes related to the daily activities of the Fund. We identified key internal controls over investment activities and investment accounting and tested those controls to determine whether those controls are designed effectively and are operating as intended to mitigate any risks and ensure compliance with the governing bond documents. </w:t>
      </w:r>
    </w:p>
    <w:p w14:paraId="78E741CF" w14:textId="77777777" w:rsidR="001A6A33" w:rsidRPr="001A6A33" w:rsidRDefault="001A6A33" w:rsidP="001A6A33">
      <w:pPr>
        <w:tabs>
          <w:tab w:val="left" w:pos="540"/>
          <w:tab w:val="left" w:pos="1440"/>
        </w:tabs>
        <w:suppressAutoHyphens/>
        <w:ind w:left="360"/>
        <w:jc w:val="both"/>
        <w:rPr>
          <w:rFonts w:ascii="Arial" w:hAnsi="Arial" w:cs="Arial"/>
          <w:spacing w:val="-3"/>
        </w:rPr>
      </w:pPr>
    </w:p>
    <w:p w14:paraId="5AD48960" w14:textId="77777777" w:rsidR="001A6A33" w:rsidRPr="001A6A33" w:rsidRDefault="001A6A33" w:rsidP="001A6A33">
      <w:pPr>
        <w:tabs>
          <w:tab w:val="left" w:pos="1440"/>
        </w:tabs>
        <w:suppressAutoHyphens/>
        <w:jc w:val="both"/>
        <w:rPr>
          <w:rFonts w:ascii="Arial" w:hAnsi="Arial" w:cs="Arial"/>
          <w:spacing w:val="-3"/>
        </w:rPr>
      </w:pPr>
      <w:r w:rsidRPr="001A6A33">
        <w:rPr>
          <w:rFonts w:ascii="Arial" w:hAnsi="Arial" w:cs="Arial"/>
          <w:spacing w:val="-3"/>
        </w:rPr>
        <w:t>Testing:</w:t>
      </w:r>
    </w:p>
    <w:p w14:paraId="26A7065D" w14:textId="77777777" w:rsidR="001A6A33" w:rsidRPr="001A6A33" w:rsidRDefault="001A6A33" w:rsidP="001A6A33">
      <w:pPr>
        <w:tabs>
          <w:tab w:val="left" w:pos="1440"/>
        </w:tabs>
        <w:suppressAutoHyphens/>
        <w:jc w:val="both"/>
        <w:rPr>
          <w:rFonts w:ascii="Arial" w:hAnsi="Arial" w:cs="Arial"/>
          <w:spacing w:val="-3"/>
        </w:rPr>
      </w:pPr>
      <w:r w:rsidRPr="001A6A33">
        <w:rPr>
          <w:rFonts w:ascii="Arial" w:hAnsi="Arial" w:cs="Arial"/>
          <w:spacing w:val="-3"/>
        </w:rPr>
        <w:t xml:space="preserve"> </w:t>
      </w:r>
    </w:p>
    <w:p w14:paraId="70ABD322" w14:textId="77777777" w:rsidR="001A6A33" w:rsidRPr="001A6A33" w:rsidRDefault="001A6A33" w:rsidP="001A6A33">
      <w:pPr>
        <w:pStyle w:val="ListParagraph"/>
        <w:numPr>
          <w:ilvl w:val="0"/>
          <w:numId w:val="1"/>
        </w:numPr>
        <w:tabs>
          <w:tab w:val="left" w:pos="540"/>
          <w:tab w:val="left" w:pos="1440"/>
        </w:tabs>
        <w:suppressAutoHyphens/>
        <w:spacing w:before="0"/>
        <w:ind w:left="540" w:hanging="180"/>
        <w:jc w:val="both"/>
        <w:rPr>
          <w:rFonts w:ascii="Arial" w:hAnsi="Arial" w:cs="Arial"/>
          <w:spacing w:val="-3"/>
          <w:sz w:val="24"/>
        </w:rPr>
      </w:pPr>
      <w:r w:rsidRPr="001A6A33">
        <w:rPr>
          <w:rFonts w:ascii="Arial" w:hAnsi="Arial" w:cs="Arial"/>
          <w:spacing w:val="-3"/>
          <w:sz w:val="24"/>
        </w:rPr>
        <w:t xml:space="preserve">We verified the </w:t>
      </w:r>
      <w:proofErr w:type="spellStart"/>
      <w:r w:rsidRPr="001A6A33">
        <w:rPr>
          <w:rFonts w:ascii="Arial" w:hAnsi="Arial" w:cs="Arial"/>
          <w:spacing w:val="-3"/>
          <w:sz w:val="24"/>
        </w:rPr>
        <w:t>SymPro</w:t>
      </w:r>
      <w:proofErr w:type="spellEnd"/>
      <w:r w:rsidRPr="001A6A33">
        <w:rPr>
          <w:rFonts w:ascii="Arial" w:hAnsi="Arial" w:cs="Arial"/>
          <w:spacing w:val="-3"/>
          <w:sz w:val="24"/>
        </w:rPr>
        <w:t xml:space="preserve"> non-pooled investment balances agreed with the custodian statements and County’s Financial System (COMPASS). </w:t>
      </w:r>
    </w:p>
    <w:p w14:paraId="0ACFA5C8" w14:textId="77777777" w:rsidR="001A6A33" w:rsidRPr="001A6A33" w:rsidRDefault="001A6A33" w:rsidP="001A6A33">
      <w:pPr>
        <w:pStyle w:val="ListParagraph"/>
        <w:tabs>
          <w:tab w:val="left" w:pos="1440"/>
        </w:tabs>
        <w:suppressAutoHyphens/>
        <w:spacing w:before="0"/>
        <w:ind w:left="0"/>
        <w:jc w:val="both"/>
        <w:rPr>
          <w:rFonts w:ascii="Arial" w:hAnsi="Arial" w:cs="Arial"/>
          <w:spacing w:val="-3"/>
          <w:sz w:val="24"/>
        </w:rPr>
      </w:pPr>
    </w:p>
    <w:p w14:paraId="5B17A8D2" w14:textId="77777777" w:rsidR="001A6A33" w:rsidRPr="001A6A33" w:rsidRDefault="001A6A33" w:rsidP="001A6A33">
      <w:pPr>
        <w:pStyle w:val="ListParagraph"/>
        <w:numPr>
          <w:ilvl w:val="0"/>
          <w:numId w:val="1"/>
        </w:numPr>
        <w:tabs>
          <w:tab w:val="left" w:pos="540"/>
          <w:tab w:val="left" w:pos="630"/>
        </w:tabs>
        <w:suppressAutoHyphens/>
        <w:spacing w:before="0"/>
        <w:ind w:left="540" w:hanging="180"/>
        <w:jc w:val="both"/>
        <w:rPr>
          <w:rFonts w:ascii="Arial" w:hAnsi="Arial" w:cs="Arial"/>
          <w:spacing w:val="-3"/>
          <w:sz w:val="24"/>
        </w:rPr>
      </w:pPr>
      <w:r w:rsidRPr="001A6A33">
        <w:rPr>
          <w:rFonts w:ascii="Arial" w:hAnsi="Arial" w:cs="Arial"/>
          <w:spacing w:val="-3"/>
          <w:sz w:val="24"/>
        </w:rPr>
        <w:t xml:space="preserve">We selected 12 out of a total of 46 non-pooled bond proceed funds, which represent over 25% of the total non-pooled investments based on outstanding issuances as of March 31, 2026, and tested for compliance with their governing bond documents. There were no new bonds issued during the period under audit. See ATT 1 – </w:t>
      </w:r>
      <w:r w:rsidRPr="001A6A33">
        <w:rPr>
          <w:rFonts w:ascii="Arial" w:hAnsi="Arial" w:cs="Arial"/>
          <w:i/>
          <w:iCs/>
          <w:spacing w:val="-3"/>
          <w:sz w:val="24"/>
        </w:rPr>
        <w:t>Schedule</w:t>
      </w:r>
      <w:r w:rsidRPr="001A6A33">
        <w:rPr>
          <w:rFonts w:ascii="Arial" w:hAnsi="Arial" w:cs="Arial"/>
          <w:spacing w:val="-3"/>
          <w:sz w:val="24"/>
        </w:rPr>
        <w:t xml:space="preserve"> of </w:t>
      </w:r>
      <w:r w:rsidRPr="001A6A33">
        <w:rPr>
          <w:rFonts w:ascii="Arial" w:hAnsi="Arial" w:cs="Arial"/>
          <w:i/>
          <w:iCs/>
          <w:spacing w:val="-3"/>
          <w:sz w:val="24"/>
        </w:rPr>
        <w:t>Sample Non-Pooled Investments.</w:t>
      </w:r>
    </w:p>
    <w:p w14:paraId="35B45ED9" w14:textId="77777777" w:rsidR="001A6A33" w:rsidRPr="001A6A33" w:rsidRDefault="001A6A33" w:rsidP="001A6A33">
      <w:pPr>
        <w:rPr>
          <w:rFonts w:ascii="Arial" w:hAnsi="Arial" w:cs="Arial"/>
        </w:rPr>
      </w:pPr>
    </w:p>
    <w:p w14:paraId="63A78D83" w14:textId="77777777" w:rsidR="001A6A33" w:rsidRPr="001A6A33" w:rsidRDefault="001A6A33" w:rsidP="001A6A33">
      <w:pPr>
        <w:widowControl w:val="0"/>
        <w:tabs>
          <w:tab w:val="left" w:pos="1440"/>
          <w:tab w:val="right" w:leader="dot" w:pos="9270"/>
        </w:tabs>
        <w:jc w:val="both"/>
        <w:rPr>
          <w:rFonts w:ascii="Arial" w:hAnsi="Arial" w:cs="Arial"/>
        </w:rPr>
      </w:pPr>
      <w:r w:rsidRPr="001A6A33">
        <w:rPr>
          <w:rFonts w:ascii="Arial" w:hAnsi="Arial" w:cs="Arial"/>
        </w:rPr>
        <w:t xml:space="preserve">We conducted this performance audit in accordance with </w:t>
      </w:r>
      <w:r w:rsidRPr="001A6A33">
        <w:rPr>
          <w:rFonts w:ascii="Arial" w:hAnsi="Arial" w:cs="Arial"/>
          <w:i/>
          <w:iCs/>
        </w:rPr>
        <w:t>Generally Accepted</w:t>
      </w:r>
      <w:r w:rsidRPr="001A6A33">
        <w:rPr>
          <w:rFonts w:ascii="Arial" w:hAnsi="Arial" w:cs="Arial"/>
        </w:rPr>
        <w:t xml:space="preserve"> </w:t>
      </w:r>
      <w:r w:rsidRPr="001A6A33">
        <w:rPr>
          <w:rFonts w:ascii="Arial" w:hAnsi="Arial" w:cs="Arial"/>
          <w:i/>
        </w:rPr>
        <w:t>Government Auditing Standards</w:t>
      </w:r>
      <w:r w:rsidRPr="001A6A33">
        <w:rPr>
          <w:rFonts w:ascii="Arial" w:hAnsi="Arial" w:cs="Arial"/>
        </w:rPr>
        <w:t xml:space="preserve"> (GAGAS) issued by the Comptroller General of the United States of America except for paragraph 3.56 regarding our independence as described in the below paragraph. Those standards require that we plan and perform the audit to obtain sufficient, appropriate evidence to provide a reasonable basis for our findings and conclusions based on our objectives. We believe that the evidence obtained provides a reasonable basis for our findings and conclusions based on our audit objective.</w:t>
      </w:r>
    </w:p>
    <w:p w14:paraId="2DECBCE6" w14:textId="77777777" w:rsidR="001A6A33" w:rsidRPr="001A6A33" w:rsidRDefault="001A6A33" w:rsidP="001A6A33">
      <w:pPr>
        <w:widowControl w:val="0"/>
        <w:tabs>
          <w:tab w:val="left" w:pos="1440"/>
          <w:tab w:val="right" w:leader="dot" w:pos="9270"/>
        </w:tabs>
        <w:jc w:val="both"/>
        <w:rPr>
          <w:rFonts w:ascii="Arial" w:hAnsi="Arial" w:cs="Arial"/>
        </w:rPr>
      </w:pPr>
    </w:p>
    <w:p w14:paraId="6E178304" w14:textId="77777777" w:rsidR="001A6A33" w:rsidRPr="001A6A33" w:rsidRDefault="001A6A33" w:rsidP="001A6A33">
      <w:pPr>
        <w:widowControl w:val="0"/>
        <w:tabs>
          <w:tab w:val="left" w:pos="1440"/>
          <w:tab w:val="right" w:leader="dot" w:pos="9270"/>
        </w:tabs>
        <w:jc w:val="both"/>
        <w:rPr>
          <w:rFonts w:ascii="Arial" w:hAnsi="Arial" w:cs="Arial"/>
        </w:rPr>
      </w:pPr>
      <w:r w:rsidRPr="001A6A33">
        <w:rPr>
          <w:rFonts w:ascii="Arial" w:hAnsi="Arial" w:cs="Arial"/>
        </w:rPr>
        <w:t xml:space="preserve">As required by various statutes within the California Government Code, County Auditor-Controllers or Directors of Finance are mandated to perform certain accounting, auditing, and financial reporting functions. These activities, in themselves, necessarily impair </w:t>
      </w:r>
      <w:r w:rsidRPr="001A6A33">
        <w:rPr>
          <w:rFonts w:ascii="Arial" w:hAnsi="Arial" w:cs="Arial"/>
          <w:i/>
          <w:iCs/>
        </w:rPr>
        <w:t>GAGAS</w:t>
      </w:r>
      <w:r w:rsidRPr="001A6A33">
        <w:rPr>
          <w:rFonts w:ascii="Arial" w:hAnsi="Arial" w:cs="Arial"/>
          <w:i/>
        </w:rPr>
        <w:t xml:space="preserve">’ </w:t>
      </w:r>
      <w:r w:rsidRPr="001A6A33">
        <w:rPr>
          <w:rFonts w:ascii="Arial" w:hAnsi="Arial" w:cs="Arial"/>
        </w:rPr>
        <w:t>independence standards. Specifically, auditors should not audit their own work or provide non-audit services in situations where the amounts or services involved are significant/material to the subject matter of the audit.</w:t>
      </w:r>
    </w:p>
    <w:p w14:paraId="170A2AE4" w14:textId="77777777" w:rsidR="001A6A33" w:rsidRPr="001A6A33" w:rsidRDefault="001A6A33" w:rsidP="001A6A33">
      <w:pPr>
        <w:widowControl w:val="0"/>
        <w:tabs>
          <w:tab w:val="left" w:pos="1440"/>
          <w:tab w:val="right" w:leader="dot" w:pos="9270"/>
        </w:tabs>
        <w:jc w:val="both"/>
        <w:rPr>
          <w:rFonts w:ascii="Arial" w:hAnsi="Arial" w:cs="Arial"/>
        </w:rPr>
      </w:pPr>
    </w:p>
    <w:p w14:paraId="7C1C18CF" w14:textId="77777777" w:rsidR="001A6A33" w:rsidRPr="001A6A33" w:rsidRDefault="001A6A33" w:rsidP="001A6A33">
      <w:pPr>
        <w:widowControl w:val="0"/>
        <w:tabs>
          <w:tab w:val="left" w:pos="1440"/>
          <w:tab w:val="right" w:leader="dot" w:pos="9270"/>
        </w:tabs>
        <w:jc w:val="both"/>
        <w:rPr>
          <w:rFonts w:ascii="Arial" w:hAnsi="Arial" w:cs="Arial"/>
        </w:rPr>
      </w:pPr>
      <w:r w:rsidRPr="001A6A33">
        <w:rPr>
          <w:rFonts w:ascii="Arial" w:hAnsi="Arial" w:cs="Arial"/>
        </w:rPr>
        <w:t xml:space="preserve">Although the Director of Finance is statutorily obligated to maintain the non-pooled investment in the County Treasury, the following safeguard and division of responsibility exist. The staff that has the responsibility to perform audits within the Auditor-Controller Division has no other responsibility regarding the internal control or compliance of the </w:t>
      </w:r>
      <w:proofErr w:type="gramStart"/>
      <w:r w:rsidRPr="001A6A33">
        <w:rPr>
          <w:rFonts w:ascii="Arial" w:hAnsi="Arial" w:cs="Arial"/>
        </w:rPr>
        <w:t>Fund,</w:t>
      </w:r>
      <w:proofErr w:type="gramEnd"/>
      <w:r w:rsidRPr="001A6A33">
        <w:rPr>
          <w:rFonts w:ascii="Arial" w:hAnsi="Arial" w:cs="Arial"/>
        </w:rPr>
        <w:t xml:space="preserve"> the accounts or records being audited including the approval or posting of financial </w:t>
      </w:r>
      <w:r w:rsidRPr="001A6A33">
        <w:rPr>
          <w:rFonts w:ascii="Arial" w:hAnsi="Arial" w:cs="Arial"/>
        </w:rPr>
        <w:lastRenderedPageBreak/>
        <w:t xml:space="preserve">transactions that would therefore enable the reader of this report to rely on the information contained herein. </w:t>
      </w:r>
    </w:p>
    <w:p w14:paraId="5CF0AEF0" w14:textId="77777777" w:rsidR="001A6A33" w:rsidRPr="001A6A33" w:rsidRDefault="001A6A33" w:rsidP="001A6A33">
      <w:pPr>
        <w:widowControl w:val="0"/>
        <w:tabs>
          <w:tab w:val="left" w:pos="1440"/>
          <w:tab w:val="right" w:leader="dot" w:pos="9270"/>
        </w:tabs>
        <w:jc w:val="both"/>
        <w:rPr>
          <w:rFonts w:ascii="Arial" w:hAnsi="Arial" w:cs="Arial"/>
        </w:rPr>
      </w:pPr>
    </w:p>
    <w:p w14:paraId="18742334" w14:textId="77777777" w:rsidR="001A6A33" w:rsidRPr="001A6A33" w:rsidRDefault="001A6A33" w:rsidP="001A6A33">
      <w:pPr>
        <w:widowControl w:val="0"/>
        <w:tabs>
          <w:tab w:val="left" w:pos="1440"/>
          <w:tab w:val="right" w:leader="dot" w:pos="9270"/>
        </w:tabs>
        <w:jc w:val="both"/>
        <w:rPr>
          <w:rFonts w:ascii="Arial" w:hAnsi="Arial" w:cs="Arial"/>
        </w:rPr>
      </w:pPr>
      <w:r w:rsidRPr="001A6A33">
        <w:rPr>
          <w:rFonts w:ascii="Arial" w:hAnsi="Arial" w:cs="Arial"/>
        </w:rPr>
        <w:t>Based on our audit, the Fund complied with governing bond documents, and applicable laws and regulations for the quarter ended March 31, 2026. Also, it appears that Treasury and Investment have adequate internal controls to ensure the Fund’s compliance with governing bond documents, and applicable laws and regulations.</w:t>
      </w:r>
    </w:p>
    <w:p w14:paraId="3A773897" w14:textId="77777777" w:rsidR="001A6A33" w:rsidRPr="001A6A33" w:rsidRDefault="001A6A33" w:rsidP="001A6A33">
      <w:pPr>
        <w:widowControl w:val="0"/>
        <w:tabs>
          <w:tab w:val="left" w:pos="1440"/>
          <w:tab w:val="right" w:leader="dot" w:pos="9270"/>
        </w:tabs>
        <w:jc w:val="both"/>
        <w:rPr>
          <w:rFonts w:ascii="Arial" w:hAnsi="Arial" w:cs="Arial"/>
        </w:rPr>
      </w:pPr>
    </w:p>
    <w:p w14:paraId="0AC2C343" w14:textId="77777777" w:rsidR="001A6A33" w:rsidRPr="001A6A33" w:rsidRDefault="001A6A33" w:rsidP="001A6A33">
      <w:pPr>
        <w:tabs>
          <w:tab w:val="left" w:pos="1440"/>
        </w:tabs>
        <w:suppressAutoHyphens/>
        <w:jc w:val="both"/>
        <w:rPr>
          <w:rFonts w:ascii="Arial" w:hAnsi="Arial" w:cs="Arial"/>
          <w:spacing w:val="-3"/>
        </w:rPr>
      </w:pPr>
      <w:r w:rsidRPr="001A6A33">
        <w:rPr>
          <w:rFonts w:ascii="Arial" w:hAnsi="Arial" w:cs="Arial"/>
          <w:spacing w:val="-3"/>
        </w:rPr>
        <w:t>This report is intended solely for the information and use of the Sacramento County Board of Supervisors, Sacramento County Treasury Oversight Committee, Sacramento County Audit Committee, and Sacramento County Executive, and the management of Treasury and Investment, and should not be used for any other purpose. It is not intended to be, and should not be, used by anyone other than these specified parties. However, this report is a matter of public record, and its distribution is not limited.</w:t>
      </w:r>
    </w:p>
    <w:p w14:paraId="6CC9A2FA" w14:textId="77777777" w:rsidR="001A6A33" w:rsidRPr="001A6A33" w:rsidRDefault="001A6A33" w:rsidP="001A6A33">
      <w:pPr>
        <w:tabs>
          <w:tab w:val="left" w:pos="1440"/>
        </w:tabs>
        <w:suppressAutoHyphens/>
        <w:jc w:val="both"/>
        <w:rPr>
          <w:rFonts w:ascii="Arial" w:hAnsi="Arial" w:cs="Arial"/>
          <w:spacing w:val="-3"/>
        </w:rPr>
      </w:pPr>
    </w:p>
    <w:p w14:paraId="0E7E2F29" w14:textId="77777777" w:rsidR="001A6A33" w:rsidRPr="001A6A33" w:rsidRDefault="001A6A33" w:rsidP="001A6A33">
      <w:pPr>
        <w:tabs>
          <w:tab w:val="left" w:pos="1440"/>
        </w:tabs>
        <w:suppressAutoHyphens/>
        <w:jc w:val="both"/>
        <w:rPr>
          <w:rFonts w:ascii="Arial" w:hAnsi="Arial" w:cs="Arial"/>
          <w:spacing w:val="-3"/>
        </w:rPr>
      </w:pPr>
      <w:r w:rsidRPr="001A6A33">
        <w:rPr>
          <w:rFonts w:ascii="Arial" w:hAnsi="Arial" w:cs="Arial"/>
          <w:spacing w:val="-3"/>
        </w:rPr>
        <w:t>Sincerely,</w:t>
      </w:r>
    </w:p>
    <w:p w14:paraId="19E3DF62" w14:textId="77777777" w:rsidR="001A6A33" w:rsidRPr="001A6A33" w:rsidRDefault="001A6A33" w:rsidP="001A6A33">
      <w:pPr>
        <w:tabs>
          <w:tab w:val="left" w:pos="1440"/>
        </w:tabs>
        <w:suppressAutoHyphens/>
        <w:jc w:val="both"/>
        <w:rPr>
          <w:rFonts w:ascii="Arial" w:hAnsi="Arial" w:cs="Arial"/>
          <w:spacing w:val="-3"/>
        </w:rPr>
      </w:pPr>
    </w:p>
    <w:p w14:paraId="55FD81E0" w14:textId="77777777" w:rsidR="001A6A33" w:rsidRPr="001A6A33" w:rsidRDefault="001A6A33" w:rsidP="001A6A33">
      <w:pPr>
        <w:tabs>
          <w:tab w:val="left" w:pos="1440"/>
        </w:tabs>
        <w:suppressAutoHyphens/>
        <w:jc w:val="both"/>
        <w:rPr>
          <w:rFonts w:ascii="Arial" w:hAnsi="Arial" w:cs="Arial"/>
          <w:spacing w:val="-3"/>
        </w:rPr>
      </w:pPr>
      <w:r w:rsidRPr="001A6A33">
        <w:rPr>
          <w:rFonts w:ascii="Arial" w:hAnsi="Arial" w:cs="Arial"/>
          <w:spacing w:val="-3"/>
        </w:rPr>
        <w:t>CHAD RINDE</w:t>
      </w:r>
    </w:p>
    <w:p w14:paraId="796C4EF4" w14:textId="77777777" w:rsidR="001A6A33" w:rsidRPr="001A6A33" w:rsidRDefault="001A6A33" w:rsidP="001A6A33">
      <w:pPr>
        <w:tabs>
          <w:tab w:val="left" w:pos="1440"/>
        </w:tabs>
        <w:suppressAutoHyphens/>
        <w:jc w:val="both"/>
        <w:rPr>
          <w:rFonts w:ascii="Arial" w:hAnsi="Arial" w:cs="Arial"/>
          <w:spacing w:val="-3"/>
        </w:rPr>
      </w:pPr>
      <w:r w:rsidRPr="001A6A33">
        <w:rPr>
          <w:rFonts w:ascii="Arial" w:hAnsi="Arial" w:cs="Arial"/>
          <w:spacing w:val="-3"/>
        </w:rPr>
        <w:t>DIRECTOR OF FINANCE</w:t>
      </w:r>
    </w:p>
    <w:p w14:paraId="4B1DEC03" w14:textId="1488ECA3" w:rsidR="001A6A33" w:rsidRPr="001A6A33" w:rsidRDefault="001A6A33" w:rsidP="001A6A33">
      <w:pPr>
        <w:tabs>
          <w:tab w:val="left" w:pos="1440"/>
        </w:tabs>
        <w:suppressAutoHyphens/>
        <w:jc w:val="both"/>
        <w:rPr>
          <w:rFonts w:ascii="Arial" w:hAnsi="Arial" w:cs="Arial"/>
          <w:spacing w:val="-3"/>
        </w:rPr>
      </w:pPr>
    </w:p>
    <w:p w14:paraId="55F41537" w14:textId="19A194E6" w:rsidR="001A6A33" w:rsidRPr="001A6A33" w:rsidRDefault="00942E7A" w:rsidP="001A6A33">
      <w:pPr>
        <w:tabs>
          <w:tab w:val="left" w:pos="1440"/>
        </w:tabs>
        <w:suppressAutoHyphens/>
        <w:jc w:val="both"/>
        <w:rPr>
          <w:rFonts w:ascii="Arial" w:hAnsi="Arial" w:cs="Arial"/>
          <w:spacing w:val="-3"/>
        </w:rPr>
      </w:pPr>
      <w:r>
        <w:rPr>
          <w:rFonts w:ascii="Arial" w:hAnsi="Arial" w:cs="Arial"/>
          <w:spacing w:val="-3"/>
        </w:rPr>
        <w:t xml:space="preserve">        </w:t>
      </w:r>
      <w:r>
        <w:rPr>
          <w:rFonts w:ascii="Arial" w:hAnsi="Arial" w:cs="Arial"/>
          <w:noProof/>
          <w:spacing w:val="-3"/>
        </w:rPr>
        <w:drawing>
          <wp:inline distT="0" distB="0" distL="0" distR="0" wp14:anchorId="76FE0700" wp14:editId="5ED4CD76">
            <wp:extent cx="1149201" cy="446384"/>
            <wp:effectExtent l="0" t="0" r="0" b="0"/>
            <wp:docPr id="270852393"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852393" name="Picture 1" descr="Signatur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77407" cy="457340"/>
                    </a:xfrm>
                    <a:prstGeom prst="rect">
                      <a:avLst/>
                    </a:prstGeom>
                  </pic:spPr>
                </pic:pic>
              </a:graphicData>
            </a:graphic>
          </wp:inline>
        </w:drawing>
      </w:r>
    </w:p>
    <w:p w14:paraId="0FDECEED" w14:textId="77777777" w:rsidR="001A6A33" w:rsidRPr="001A6A33" w:rsidRDefault="001A6A33" w:rsidP="001A6A33">
      <w:pPr>
        <w:tabs>
          <w:tab w:val="left" w:pos="1440"/>
        </w:tabs>
        <w:suppressAutoHyphens/>
        <w:jc w:val="both"/>
        <w:rPr>
          <w:rFonts w:ascii="Arial" w:hAnsi="Arial" w:cs="Arial"/>
          <w:spacing w:val="-3"/>
        </w:rPr>
      </w:pPr>
    </w:p>
    <w:p w14:paraId="71B51BCF" w14:textId="77777777" w:rsidR="001A6A33" w:rsidRPr="001A6A33" w:rsidRDefault="001A6A33" w:rsidP="001A6A33">
      <w:pPr>
        <w:tabs>
          <w:tab w:val="left" w:pos="1260"/>
        </w:tabs>
        <w:suppressAutoHyphens/>
        <w:jc w:val="both"/>
        <w:rPr>
          <w:rFonts w:ascii="Arial" w:hAnsi="Arial" w:cs="Arial"/>
          <w:spacing w:val="-3"/>
        </w:rPr>
      </w:pPr>
      <w:proofErr w:type="gramStart"/>
      <w:r w:rsidRPr="001A6A33">
        <w:rPr>
          <w:rFonts w:ascii="Arial" w:hAnsi="Arial" w:cs="Arial"/>
          <w:spacing w:val="-3"/>
        </w:rPr>
        <w:t>By:  Tae</w:t>
      </w:r>
      <w:proofErr w:type="gramEnd"/>
      <w:r w:rsidRPr="001A6A33">
        <w:rPr>
          <w:rFonts w:ascii="Arial" w:hAnsi="Arial" w:cs="Arial"/>
          <w:spacing w:val="-3"/>
        </w:rPr>
        <w:t>-Young Kang, CPA</w:t>
      </w:r>
    </w:p>
    <w:p w14:paraId="4BF8B980" w14:textId="77777777" w:rsidR="001A6A33" w:rsidRPr="001A6A33" w:rsidRDefault="001A6A33" w:rsidP="001A6A33">
      <w:pPr>
        <w:tabs>
          <w:tab w:val="left" w:pos="1260"/>
        </w:tabs>
        <w:jc w:val="both"/>
        <w:rPr>
          <w:rFonts w:ascii="Arial" w:hAnsi="Arial" w:cs="Arial"/>
        </w:rPr>
      </w:pPr>
      <w:r w:rsidRPr="001A6A33">
        <w:rPr>
          <w:rFonts w:ascii="Arial" w:hAnsi="Arial" w:cs="Arial"/>
        </w:rPr>
        <w:t xml:space="preserve">       Audit Manager</w:t>
      </w:r>
    </w:p>
    <w:p w14:paraId="1FF15385" w14:textId="77777777" w:rsidR="001A6A33" w:rsidRPr="001A6A33" w:rsidRDefault="001A6A33" w:rsidP="001A6A33">
      <w:pPr>
        <w:tabs>
          <w:tab w:val="left" w:pos="1260"/>
        </w:tabs>
        <w:jc w:val="both"/>
        <w:rPr>
          <w:rFonts w:ascii="Arial" w:hAnsi="Arial" w:cs="Arial"/>
        </w:rPr>
      </w:pPr>
    </w:p>
    <w:p w14:paraId="081DDE00" w14:textId="77777777" w:rsidR="001A6A33" w:rsidRPr="001A6A33" w:rsidRDefault="001A6A33" w:rsidP="001A6A33">
      <w:pPr>
        <w:tabs>
          <w:tab w:val="left" w:pos="1260"/>
        </w:tabs>
        <w:jc w:val="both"/>
        <w:rPr>
          <w:rFonts w:ascii="Arial" w:hAnsi="Arial" w:cs="Arial"/>
          <w:i/>
        </w:rPr>
      </w:pPr>
      <w:r w:rsidRPr="001A6A33">
        <w:rPr>
          <w:rFonts w:ascii="Arial" w:hAnsi="Arial" w:cs="Arial"/>
        </w:rPr>
        <w:t>ATT 1 –</w:t>
      </w:r>
      <w:r w:rsidRPr="001A6A33">
        <w:rPr>
          <w:rFonts w:ascii="Arial" w:hAnsi="Arial" w:cs="Arial"/>
          <w:i/>
        </w:rPr>
        <w:t xml:space="preserve"> Schedule of Sample Non-Pooled Investments</w:t>
      </w:r>
      <w:bookmarkEnd w:id="1"/>
    </w:p>
    <w:p w14:paraId="31761C1D" w14:textId="77777777" w:rsidR="001A6A33" w:rsidRPr="001A6A33" w:rsidRDefault="001A6A33" w:rsidP="002030C9">
      <w:pPr>
        <w:tabs>
          <w:tab w:val="left" w:pos="6615"/>
        </w:tabs>
        <w:rPr>
          <w:rFonts w:ascii="Arial" w:hAnsi="Arial" w:cs="Arial"/>
        </w:rPr>
      </w:pPr>
    </w:p>
    <w:p w14:paraId="306CFD67" w14:textId="77777777" w:rsidR="001A6A33" w:rsidRPr="001A6A33" w:rsidRDefault="001A6A33" w:rsidP="001A6A33">
      <w:pPr>
        <w:rPr>
          <w:rFonts w:ascii="Arial" w:hAnsi="Arial" w:cs="Arial"/>
        </w:rPr>
      </w:pPr>
    </w:p>
    <w:p w14:paraId="65866B8B" w14:textId="77777777" w:rsidR="001A6A33" w:rsidRPr="001A6A33" w:rsidRDefault="001A6A33" w:rsidP="001A6A33">
      <w:pPr>
        <w:rPr>
          <w:rFonts w:ascii="Arial" w:hAnsi="Arial" w:cs="Arial"/>
        </w:rPr>
      </w:pPr>
    </w:p>
    <w:p w14:paraId="43B4F43C" w14:textId="77777777" w:rsidR="001A6A33" w:rsidRPr="001A6A33" w:rsidRDefault="001A6A33" w:rsidP="001A6A33">
      <w:pPr>
        <w:rPr>
          <w:rFonts w:ascii="Arial" w:hAnsi="Arial" w:cs="Arial"/>
        </w:rPr>
      </w:pPr>
    </w:p>
    <w:p w14:paraId="7DA8E8B6" w14:textId="77777777" w:rsidR="001A6A33" w:rsidRPr="001A6A33" w:rsidRDefault="001A6A33" w:rsidP="001A6A33">
      <w:pPr>
        <w:rPr>
          <w:rFonts w:ascii="Arial" w:hAnsi="Arial" w:cs="Arial"/>
        </w:rPr>
      </w:pPr>
    </w:p>
    <w:p w14:paraId="663E85F8" w14:textId="77777777" w:rsidR="001A6A33" w:rsidRPr="001A6A33" w:rsidRDefault="001A6A33" w:rsidP="001A6A33">
      <w:pPr>
        <w:rPr>
          <w:rFonts w:ascii="Arial" w:hAnsi="Arial" w:cs="Arial"/>
        </w:rPr>
      </w:pPr>
    </w:p>
    <w:p w14:paraId="13E6FD0F" w14:textId="77777777" w:rsidR="001A6A33" w:rsidRPr="001A6A33" w:rsidRDefault="001A6A33" w:rsidP="001A6A33">
      <w:pPr>
        <w:rPr>
          <w:rFonts w:ascii="Arial" w:hAnsi="Arial" w:cs="Arial"/>
        </w:rPr>
      </w:pPr>
    </w:p>
    <w:p w14:paraId="14877B13" w14:textId="77777777" w:rsidR="001A6A33" w:rsidRPr="001A6A33" w:rsidRDefault="001A6A33" w:rsidP="001A6A33">
      <w:pPr>
        <w:rPr>
          <w:rFonts w:ascii="Arial" w:hAnsi="Arial" w:cs="Arial"/>
        </w:rPr>
      </w:pPr>
    </w:p>
    <w:p w14:paraId="27532E70" w14:textId="77777777" w:rsidR="001A6A33" w:rsidRPr="001A6A33" w:rsidRDefault="001A6A33" w:rsidP="001A6A33">
      <w:pPr>
        <w:rPr>
          <w:rFonts w:ascii="Arial" w:hAnsi="Arial" w:cs="Arial"/>
        </w:rPr>
      </w:pPr>
    </w:p>
    <w:p w14:paraId="74C33565" w14:textId="77777777" w:rsidR="001A6A33" w:rsidRPr="001A6A33" w:rsidRDefault="001A6A33" w:rsidP="001A6A33">
      <w:pPr>
        <w:rPr>
          <w:rFonts w:ascii="Arial" w:hAnsi="Arial" w:cs="Arial"/>
        </w:rPr>
      </w:pPr>
    </w:p>
    <w:p w14:paraId="76F60414" w14:textId="77777777" w:rsidR="001A6A33" w:rsidRPr="001A6A33" w:rsidRDefault="001A6A33" w:rsidP="001A6A33">
      <w:pPr>
        <w:rPr>
          <w:rFonts w:ascii="Arial" w:hAnsi="Arial" w:cs="Arial"/>
        </w:rPr>
      </w:pPr>
    </w:p>
    <w:p w14:paraId="50E33700" w14:textId="77777777" w:rsidR="001A6A33" w:rsidRPr="001A6A33" w:rsidRDefault="001A6A33" w:rsidP="001A6A33">
      <w:pPr>
        <w:rPr>
          <w:rFonts w:ascii="Arial" w:hAnsi="Arial" w:cs="Arial"/>
        </w:rPr>
      </w:pPr>
    </w:p>
    <w:p w14:paraId="21D2B07F" w14:textId="77777777" w:rsidR="001A6A33" w:rsidRPr="001A6A33" w:rsidRDefault="001A6A33" w:rsidP="001A6A33">
      <w:pPr>
        <w:rPr>
          <w:rFonts w:ascii="Arial" w:hAnsi="Arial" w:cs="Arial"/>
        </w:rPr>
      </w:pPr>
    </w:p>
    <w:p w14:paraId="1730C78B" w14:textId="77777777" w:rsidR="001A6A33" w:rsidRPr="001A6A33" w:rsidRDefault="001A6A33" w:rsidP="001A6A33">
      <w:pPr>
        <w:rPr>
          <w:rFonts w:ascii="Arial" w:hAnsi="Arial" w:cs="Arial"/>
        </w:rPr>
      </w:pPr>
    </w:p>
    <w:p w14:paraId="24DA6704" w14:textId="77777777" w:rsidR="001A6A33" w:rsidRPr="001A6A33" w:rsidRDefault="001A6A33" w:rsidP="001A6A33">
      <w:pPr>
        <w:rPr>
          <w:rFonts w:ascii="Arial" w:hAnsi="Arial" w:cs="Arial"/>
        </w:rPr>
      </w:pPr>
    </w:p>
    <w:p w14:paraId="6FBBCCA8" w14:textId="77777777" w:rsidR="001A6A33" w:rsidRPr="001A6A33" w:rsidRDefault="001A6A33" w:rsidP="001A6A33">
      <w:pPr>
        <w:rPr>
          <w:rFonts w:ascii="Arial" w:hAnsi="Arial" w:cs="Arial"/>
        </w:rPr>
      </w:pPr>
    </w:p>
    <w:p w14:paraId="329823D3" w14:textId="77777777" w:rsidR="001A6A33" w:rsidRPr="001A6A33" w:rsidRDefault="001A6A33" w:rsidP="001A6A33">
      <w:pPr>
        <w:rPr>
          <w:rFonts w:ascii="Arial" w:hAnsi="Arial" w:cs="Arial"/>
        </w:rPr>
      </w:pPr>
    </w:p>
    <w:p w14:paraId="39DB038B" w14:textId="77777777" w:rsidR="001A6A33" w:rsidRPr="001A6A33" w:rsidRDefault="001A6A33" w:rsidP="001A6A33">
      <w:pPr>
        <w:rPr>
          <w:rFonts w:ascii="Arial" w:hAnsi="Arial" w:cs="Arial"/>
        </w:rPr>
      </w:pPr>
    </w:p>
    <w:p w14:paraId="2C12A6B5" w14:textId="77777777" w:rsidR="001A6A33" w:rsidRPr="001A6A33" w:rsidRDefault="001A6A33" w:rsidP="00377B8C">
      <w:pPr>
        <w:rPr>
          <w:rFonts w:ascii="Arial" w:hAnsi="Arial" w:cs="Arial"/>
        </w:rPr>
      </w:pPr>
    </w:p>
    <w:p w14:paraId="681443E2" w14:textId="77777777" w:rsidR="001A6A33" w:rsidRPr="001A6A33" w:rsidRDefault="001A6A33" w:rsidP="001A6A33">
      <w:pPr>
        <w:jc w:val="center"/>
        <w:rPr>
          <w:rFonts w:ascii="Arial" w:hAnsi="Arial" w:cs="Arial"/>
        </w:rPr>
        <w:sectPr w:rsidR="001A6A33" w:rsidRPr="001A6A33" w:rsidSect="001A6A33">
          <w:headerReference w:type="even" r:id="rId19"/>
          <w:headerReference w:type="default" r:id="rId20"/>
          <w:headerReference w:type="first" r:id="rId21"/>
          <w:type w:val="continuous"/>
          <w:pgSz w:w="12240" w:h="15840" w:code="1"/>
          <w:pgMar w:top="1440" w:right="1440" w:bottom="1440" w:left="1440" w:header="432" w:footer="720" w:gutter="0"/>
          <w:pgNumType w:start="1"/>
          <w:cols w:space="720"/>
          <w:docGrid w:linePitch="299"/>
        </w:sectPr>
      </w:pPr>
    </w:p>
    <w:p w14:paraId="3F5A462C" w14:textId="77777777" w:rsidR="001A6A33" w:rsidRPr="001A6A33" w:rsidRDefault="001A6A33" w:rsidP="001A6A33">
      <w:pPr>
        <w:rPr>
          <w:rFonts w:ascii="Arial" w:hAnsi="Arial" w:cs="Arial"/>
          <w:szCs w:val="24"/>
        </w:rPr>
      </w:pPr>
    </w:p>
    <w:tbl>
      <w:tblPr>
        <w:tblStyle w:val="TableGrid"/>
        <w:tblW w:w="9001"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10"/>
        <w:gridCol w:w="281"/>
        <w:gridCol w:w="2511"/>
        <w:gridCol w:w="301"/>
        <w:gridCol w:w="1498"/>
      </w:tblGrid>
      <w:tr w:rsidR="001A6A33" w:rsidRPr="001A6A33" w14:paraId="613BA7EC" w14:textId="77777777" w:rsidTr="00F0601B">
        <w:tc>
          <w:tcPr>
            <w:tcW w:w="4410" w:type="dxa"/>
            <w:tcBorders>
              <w:bottom w:val="single" w:sz="4" w:space="0" w:color="auto"/>
            </w:tcBorders>
          </w:tcPr>
          <w:p w14:paraId="0542CA8C" w14:textId="77777777" w:rsidR="001A6A33" w:rsidRPr="001A6A33" w:rsidRDefault="001A6A33" w:rsidP="00F0601B">
            <w:pPr>
              <w:jc w:val="center"/>
              <w:rPr>
                <w:rFonts w:ascii="Arial" w:hAnsi="Arial" w:cs="Arial"/>
              </w:rPr>
            </w:pPr>
          </w:p>
          <w:p w14:paraId="6E61180D" w14:textId="77777777" w:rsidR="001A6A33" w:rsidRPr="001A6A33" w:rsidRDefault="001A6A33" w:rsidP="00F0601B">
            <w:pPr>
              <w:jc w:val="center"/>
              <w:rPr>
                <w:rFonts w:ascii="Arial" w:hAnsi="Arial" w:cs="Arial"/>
              </w:rPr>
            </w:pPr>
            <w:r w:rsidRPr="001A6A33">
              <w:rPr>
                <w:rFonts w:ascii="Arial" w:hAnsi="Arial" w:cs="Arial"/>
              </w:rPr>
              <w:t xml:space="preserve">Issue </w:t>
            </w:r>
            <w:r w:rsidRPr="001A6A33">
              <w:rPr>
                <w:rFonts w:ascii="Arial" w:hAnsi="Arial" w:cs="Arial"/>
                <w:vertAlign w:val="superscript"/>
              </w:rPr>
              <w:t>(1)</w:t>
            </w:r>
          </w:p>
        </w:tc>
        <w:tc>
          <w:tcPr>
            <w:tcW w:w="281" w:type="dxa"/>
          </w:tcPr>
          <w:p w14:paraId="1DE49799" w14:textId="77777777" w:rsidR="001A6A33" w:rsidRPr="001A6A33" w:rsidRDefault="001A6A33" w:rsidP="00F0601B">
            <w:pPr>
              <w:jc w:val="center"/>
              <w:rPr>
                <w:rFonts w:ascii="Arial" w:hAnsi="Arial" w:cs="Arial"/>
              </w:rPr>
            </w:pPr>
          </w:p>
        </w:tc>
        <w:tc>
          <w:tcPr>
            <w:tcW w:w="2511" w:type="dxa"/>
            <w:tcBorders>
              <w:bottom w:val="single" w:sz="4" w:space="0" w:color="auto"/>
            </w:tcBorders>
          </w:tcPr>
          <w:p w14:paraId="65987935" w14:textId="77777777" w:rsidR="001A6A33" w:rsidRPr="001A6A33" w:rsidRDefault="001A6A33" w:rsidP="00F0601B">
            <w:pPr>
              <w:jc w:val="center"/>
              <w:rPr>
                <w:rFonts w:ascii="Arial" w:hAnsi="Arial" w:cs="Arial"/>
              </w:rPr>
            </w:pPr>
            <w:r w:rsidRPr="001A6A33">
              <w:rPr>
                <w:rFonts w:ascii="Arial" w:hAnsi="Arial" w:cs="Arial"/>
              </w:rPr>
              <w:t>Book Value</w:t>
            </w:r>
          </w:p>
          <w:p w14:paraId="256EE20A" w14:textId="77777777" w:rsidR="001A6A33" w:rsidRPr="001A6A33" w:rsidRDefault="001A6A33" w:rsidP="00F0601B">
            <w:pPr>
              <w:jc w:val="center"/>
              <w:rPr>
                <w:rFonts w:ascii="Arial" w:hAnsi="Arial" w:cs="Arial"/>
              </w:rPr>
            </w:pPr>
            <w:r w:rsidRPr="001A6A33">
              <w:rPr>
                <w:rFonts w:ascii="Arial" w:hAnsi="Arial" w:cs="Arial"/>
              </w:rPr>
              <w:t>3/31/2026</w:t>
            </w:r>
          </w:p>
        </w:tc>
        <w:tc>
          <w:tcPr>
            <w:tcW w:w="301" w:type="dxa"/>
          </w:tcPr>
          <w:p w14:paraId="29E24FCF" w14:textId="77777777" w:rsidR="001A6A33" w:rsidRPr="001A6A33" w:rsidRDefault="001A6A33" w:rsidP="00F0601B">
            <w:pPr>
              <w:jc w:val="center"/>
              <w:rPr>
                <w:rFonts w:ascii="Arial" w:hAnsi="Arial" w:cs="Arial"/>
              </w:rPr>
            </w:pPr>
          </w:p>
        </w:tc>
        <w:tc>
          <w:tcPr>
            <w:tcW w:w="1498" w:type="dxa"/>
            <w:tcBorders>
              <w:bottom w:val="single" w:sz="4" w:space="0" w:color="auto"/>
            </w:tcBorders>
          </w:tcPr>
          <w:p w14:paraId="6A1C7830" w14:textId="77777777" w:rsidR="001A6A33" w:rsidRPr="001A6A33" w:rsidRDefault="001A6A33" w:rsidP="00F0601B">
            <w:pPr>
              <w:jc w:val="center"/>
              <w:rPr>
                <w:rFonts w:ascii="Arial" w:hAnsi="Arial" w:cs="Arial"/>
              </w:rPr>
            </w:pPr>
            <w:r w:rsidRPr="001A6A33">
              <w:rPr>
                <w:rFonts w:ascii="Arial" w:hAnsi="Arial" w:cs="Arial"/>
              </w:rPr>
              <w:t xml:space="preserve">% of </w:t>
            </w:r>
            <w:r w:rsidRPr="001A6A33">
              <w:rPr>
                <w:rFonts w:ascii="Arial" w:hAnsi="Arial" w:cs="Arial"/>
                <w:vertAlign w:val="superscript"/>
              </w:rPr>
              <w:t>(2)</w:t>
            </w:r>
            <w:r w:rsidRPr="001A6A33">
              <w:rPr>
                <w:rFonts w:ascii="Arial" w:hAnsi="Arial" w:cs="Arial"/>
              </w:rPr>
              <w:t xml:space="preserve"> Portfolio</w:t>
            </w:r>
          </w:p>
        </w:tc>
      </w:tr>
      <w:tr w:rsidR="001A6A33" w:rsidRPr="001A6A33" w14:paraId="563933C1" w14:textId="77777777" w:rsidTr="00F0601B">
        <w:tc>
          <w:tcPr>
            <w:tcW w:w="4410" w:type="dxa"/>
            <w:tcBorders>
              <w:top w:val="single" w:sz="4" w:space="0" w:color="auto"/>
            </w:tcBorders>
          </w:tcPr>
          <w:p w14:paraId="48A5E472" w14:textId="77777777" w:rsidR="001A6A33" w:rsidRPr="001A6A33" w:rsidRDefault="001A6A33" w:rsidP="00F0601B">
            <w:pPr>
              <w:rPr>
                <w:rFonts w:ascii="Arial" w:hAnsi="Arial" w:cs="Arial"/>
              </w:rPr>
            </w:pPr>
            <w:r w:rsidRPr="001A6A33">
              <w:rPr>
                <w:rFonts w:ascii="Arial" w:hAnsi="Arial" w:cs="Arial"/>
              </w:rPr>
              <w:t>North Vineyard CFD No. 2 2021 (MR)</w:t>
            </w:r>
          </w:p>
        </w:tc>
        <w:tc>
          <w:tcPr>
            <w:tcW w:w="281" w:type="dxa"/>
          </w:tcPr>
          <w:p w14:paraId="1F39CFD8" w14:textId="77777777" w:rsidR="001A6A33" w:rsidRPr="001A6A33" w:rsidRDefault="001A6A33" w:rsidP="00F0601B">
            <w:pPr>
              <w:rPr>
                <w:rFonts w:ascii="Arial" w:hAnsi="Arial" w:cs="Arial"/>
              </w:rPr>
            </w:pPr>
          </w:p>
        </w:tc>
        <w:tc>
          <w:tcPr>
            <w:tcW w:w="2511" w:type="dxa"/>
            <w:tcBorders>
              <w:top w:val="single" w:sz="4" w:space="0" w:color="auto"/>
            </w:tcBorders>
          </w:tcPr>
          <w:p w14:paraId="07E75090" w14:textId="77777777" w:rsidR="001A6A33" w:rsidRPr="001A6A33" w:rsidRDefault="001A6A33" w:rsidP="00F0601B">
            <w:pPr>
              <w:jc w:val="right"/>
              <w:rPr>
                <w:rFonts w:ascii="Arial" w:hAnsi="Arial" w:cs="Arial"/>
              </w:rPr>
            </w:pPr>
            <w:r w:rsidRPr="001A6A33">
              <w:rPr>
                <w:rFonts w:ascii="Arial" w:hAnsi="Arial" w:cs="Arial"/>
              </w:rPr>
              <w:t>$             378,186.36</w:t>
            </w:r>
          </w:p>
        </w:tc>
        <w:tc>
          <w:tcPr>
            <w:tcW w:w="301" w:type="dxa"/>
          </w:tcPr>
          <w:p w14:paraId="500A558A" w14:textId="77777777" w:rsidR="001A6A33" w:rsidRPr="001A6A33" w:rsidRDefault="001A6A33" w:rsidP="00F0601B">
            <w:pPr>
              <w:rPr>
                <w:rFonts w:ascii="Arial" w:hAnsi="Arial" w:cs="Arial"/>
              </w:rPr>
            </w:pPr>
          </w:p>
        </w:tc>
        <w:tc>
          <w:tcPr>
            <w:tcW w:w="1498" w:type="dxa"/>
            <w:tcBorders>
              <w:top w:val="single" w:sz="4" w:space="0" w:color="auto"/>
            </w:tcBorders>
          </w:tcPr>
          <w:p w14:paraId="378075EF" w14:textId="77777777" w:rsidR="001A6A33" w:rsidRPr="001A6A33" w:rsidRDefault="001A6A33" w:rsidP="00F0601B">
            <w:pPr>
              <w:jc w:val="right"/>
              <w:rPr>
                <w:rFonts w:ascii="Arial" w:hAnsi="Arial" w:cs="Arial"/>
              </w:rPr>
            </w:pPr>
            <w:r w:rsidRPr="001A6A33">
              <w:rPr>
                <w:rFonts w:ascii="Arial" w:hAnsi="Arial" w:cs="Arial"/>
              </w:rPr>
              <w:t>&lt;1</w:t>
            </w:r>
          </w:p>
        </w:tc>
      </w:tr>
      <w:tr w:rsidR="001A6A33" w:rsidRPr="001A6A33" w14:paraId="2241CCBC" w14:textId="77777777" w:rsidTr="00F0601B">
        <w:tc>
          <w:tcPr>
            <w:tcW w:w="4410" w:type="dxa"/>
          </w:tcPr>
          <w:p w14:paraId="6B835C76" w14:textId="77777777" w:rsidR="001A6A33" w:rsidRPr="001A6A33" w:rsidRDefault="001A6A33" w:rsidP="00F0601B">
            <w:pPr>
              <w:rPr>
                <w:rFonts w:ascii="Arial" w:hAnsi="Arial" w:cs="Arial"/>
              </w:rPr>
            </w:pPr>
            <w:r w:rsidRPr="001A6A33">
              <w:rPr>
                <w:rFonts w:ascii="Arial" w:hAnsi="Arial" w:cs="Arial"/>
              </w:rPr>
              <w:t>Airports System Ref 2020 (REV)</w:t>
            </w:r>
          </w:p>
        </w:tc>
        <w:tc>
          <w:tcPr>
            <w:tcW w:w="281" w:type="dxa"/>
          </w:tcPr>
          <w:p w14:paraId="297F038B" w14:textId="77777777" w:rsidR="001A6A33" w:rsidRPr="001A6A33" w:rsidRDefault="001A6A33" w:rsidP="00F0601B">
            <w:pPr>
              <w:rPr>
                <w:rFonts w:ascii="Arial" w:hAnsi="Arial" w:cs="Arial"/>
              </w:rPr>
            </w:pPr>
          </w:p>
        </w:tc>
        <w:tc>
          <w:tcPr>
            <w:tcW w:w="2511" w:type="dxa"/>
          </w:tcPr>
          <w:p w14:paraId="08B7BBE6" w14:textId="77777777" w:rsidR="001A6A33" w:rsidRPr="001A6A33" w:rsidRDefault="001A6A33" w:rsidP="00F0601B">
            <w:pPr>
              <w:jc w:val="right"/>
              <w:rPr>
                <w:rFonts w:ascii="Arial" w:hAnsi="Arial" w:cs="Arial"/>
              </w:rPr>
            </w:pPr>
            <w:r w:rsidRPr="001A6A33">
              <w:rPr>
                <w:rFonts w:ascii="Arial" w:hAnsi="Arial" w:cs="Arial"/>
              </w:rPr>
              <w:t>3,536,252.95</w:t>
            </w:r>
          </w:p>
        </w:tc>
        <w:tc>
          <w:tcPr>
            <w:tcW w:w="301" w:type="dxa"/>
          </w:tcPr>
          <w:p w14:paraId="0BB01636" w14:textId="77777777" w:rsidR="001A6A33" w:rsidRPr="001A6A33" w:rsidRDefault="001A6A33" w:rsidP="00F0601B">
            <w:pPr>
              <w:rPr>
                <w:rFonts w:ascii="Arial" w:hAnsi="Arial" w:cs="Arial"/>
              </w:rPr>
            </w:pPr>
          </w:p>
        </w:tc>
        <w:tc>
          <w:tcPr>
            <w:tcW w:w="1498" w:type="dxa"/>
          </w:tcPr>
          <w:p w14:paraId="7D50DD2C" w14:textId="77777777" w:rsidR="001A6A33" w:rsidRPr="001A6A33" w:rsidRDefault="001A6A33" w:rsidP="00F0601B">
            <w:pPr>
              <w:jc w:val="right"/>
              <w:rPr>
                <w:rFonts w:ascii="Arial" w:hAnsi="Arial" w:cs="Arial"/>
              </w:rPr>
            </w:pPr>
            <w:r w:rsidRPr="001A6A33">
              <w:rPr>
                <w:rFonts w:ascii="Arial" w:hAnsi="Arial" w:cs="Arial"/>
              </w:rPr>
              <w:t>&lt;1</w:t>
            </w:r>
          </w:p>
        </w:tc>
      </w:tr>
      <w:tr w:rsidR="001A6A33" w:rsidRPr="001A6A33" w14:paraId="18D4A195" w14:textId="77777777" w:rsidTr="00F0601B">
        <w:tc>
          <w:tcPr>
            <w:tcW w:w="4410" w:type="dxa"/>
          </w:tcPr>
          <w:p w14:paraId="51580390" w14:textId="77777777" w:rsidR="001A6A33" w:rsidRPr="001A6A33" w:rsidRDefault="001A6A33" w:rsidP="00F0601B">
            <w:pPr>
              <w:rPr>
                <w:rFonts w:ascii="Arial" w:hAnsi="Arial" w:cs="Arial"/>
              </w:rPr>
            </w:pPr>
            <w:r w:rsidRPr="001A6A33">
              <w:rPr>
                <w:rFonts w:ascii="Arial" w:hAnsi="Arial" w:cs="Arial"/>
              </w:rPr>
              <w:t>Elk Grove USD, CFD 1, Ser 2023 (MR)</w:t>
            </w:r>
          </w:p>
        </w:tc>
        <w:tc>
          <w:tcPr>
            <w:tcW w:w="281" w:type="dxa"/>
          </w:tcPr>
          <w:p w14:paraId="388D9F27" w14:textId="77777777" w:rsidR="001A6A33" w:rsidRPr="001A6A33" w:rsidRDefault="001A6A33" w:rsidP="00F0601B">
            <w:pPr>
              <w:rPr>
                <w:rFonts w:ascii="Arial" w:hAnsi="Arial" w:cs="Arial"/>
              </w:rPr>
            </w:pPr>
          </w:p>
        </w:tc>
        <w:tc>
          <w:tcPr>
            <w:tcW w:w="2511" w:type="dxa"/>
          </w:tcPr>
          <w:p w14:paraId="2C1F6DF7" w14:textId="77777777" w:rsidR="001A6A33" w:rsidRPr="001A6A33" w:rsidRDefault="001A6A33" w:rsidP="00F0601B">
            <w:pPr>
              <w:jc w:val="right"/>
              <w:rPr>
                <w:rFonts w:ascii="Arial" w:hAnsi="Arial" w:cs="Arial"/>
              </w:rPr>
            </w:pPr>
            <w:r w:rsidRPr="001A6A33">
              <w:rPr>
                <w:rFonts w:ascii="Arial" w:hAnsi="Arial" w:cs="Arial"/>
              </w:rPr>
              <w:t>3,928,617.43</w:t>
            </w:r>
          </w:p>
        </w:tc>
        <w:tc>
          <w:tcPr>
            <w:tcW w:w="301" w:type="dxa"/>
          </w:tcPr>
          <w:p w14:paraId="4CCA6B8E" w14:textId="77777777" w:rsidR="001A6A33" w:rsidRPr="001A6A33" w:rsidRDefault="001A6A33" w:rsidP="00F0601B">
            <w:pPr>
              <w:rPr>
                <w:rFonts w:ascii="Arial" w:hAnsi="Arial" w:cs="Arial"/>
              </w:rPr>
            </w:pPr>
          </w:p>
        </w:tc>
        <w:tc>
          <w:tcPr>
            <w:tcW w:w="1498" w:type="dxa"/>
          </w:tcPr>
          <w:p w14:paraId="0C8D03BA" w14:textId="77777777" w:rsidR="001A6A33" w:rsidRPr="001A6A33" w:rsidRDefault="001A6A33" w:rsidP="00F0601B">
            <w:pPr>
              <w:jc w:val="right"/>
              <w:rPr>
                <w:rFonts w:ascii="Arial" w:hAnsi="Arial" w:cs="Arial"/>
              </w:rPr>
            </w:pPr>
            <w:r w:rsidRPr="001A6A33">
              <w:rPr>
                <w:rFonts w:ascii="Arial" w:hAnsi="Arial" w:cs="Arial"/>
              </w:rPr>
              <w:t>&lt;1</w:t>
            </w:r>
          </w:p>
        </w:tc>
      </w:tr>
      <w:tr w:rsidR="001A6A33" w:rsidRPr="001A6A33" w14:paraId="76D49209" w14:textId="77777777" w:rsidTr="00F0601B">
        <w:tc>
          <w:tcPr>
            <w:tcW w:w="4410" w:type="dxa"/>
          </w:tcPr>
          <w:p w14:paraId="30478EA5" w14:textId="77777777" w:rsidR="001A6A33" w:rsidRPr="001A6A33" w:rsidRDefault="001A6A33" w:rsidP="00F0601B">
            <w:pPr>
              <w:rPr>
                <w:rFonts w:ascii="Arial" w:hAnsi="Arial" w:cs="Arial"/>
              </w:rPr>
            </w:pPr>
            <w:r w:rsidRPr="001A6A33">
              <w:rPr>
                <w:rFonts w:ascii="Arial" w:hAnsi="Arial" w:cs="Arial"/>
              </w:rPr>
              <w:t>Elk Grove USD, CFD 1, Ref 2023 (MR)</w:t>
            </w:r>
          </w:p>
        </w:tc>
        <w:tc>
          <w:tcPr>
            <w:tcW w:w="281" w:type="dxa"/>
          </w:tcPr>
          <w:p w14:paraId="44382EA7" w14:textId="77777777" w:rsidR="001A6A33" w:rsidRPr="001A6A33" w:rsidRDefault="001A6A33" w:rsidP="00F0601B">
            <w:pPr>
              <w:rPr>
                <w:rFonts w:ascii="Arial" w:hAnsi="Arial" w:cs="Arial"/>
              </w:rPr>
            </w:pPr>
          </w:p>
        </w:tc>
        <w:tc>
          <w:tcPr>
            <w:tcW w:w="2511" w:type="dxa"/>
          </w:tcPr>
          <w:p w14:paraId="3A6286EC" w14:textId="77777777" w:rsidR="001A6A33" w:rsidRPr="001A6A33" w:rsidRDefault="001A6A33" w:rsidP="00F0601B">
            <w:pPr>
              <w:jc w:val="right"/>
              <w:rPr>
                <w:rFonts w:ascii="Arial" w:hAnsi="Arial" w:cs="Arial"/>
              </w:rPr>
            </w:pPr>
            <w:r w:rsidRPr="001A6A33">
              <w:rPr>
                <w:rFonts w:ascii="Arial" w:hAnsi="Arial" w:cs="Arial"/>
              </w:rPr>
              <w:t>6,664,723.94</w:t>
            </w:r>
          </w:p>
        </w:tc>
        <w:tc>
          <w:tcPr>
            <w:tcW w:w="301" w:type="dxa"/>
          </w:tcPr>
          <w:p w14:paraId="70DEE5CC" w14:textId="77777777" w:rsidR="001A6A33" w:rsidRPr="001A6A33" w:rsidRDefault="001A6A33" w:rsidP="00F0601B">
            <w:pPr>
              <w:rPr>
                <w:rFonts w:ascii="Arial" w:hAnsi="Arial" w:cs="Arial"/>
              </w:rPr>
            </w:pPr>
          </w:p>
        </w:tc>
        <w:tc>
          <w:tcPr>
            <w:tcW w:w="1498" w:type="dxa"/>
          </w:tcPr>
          <w:p w14:paraId="3222A9B0" w14:textId="77777777" w:rsidR="001A6A33" w:rsidRPr="001A6A33" w:rsidRDefault="001A6A33" w:rsidP="00F0601B">
            <w:pPr>
              <w:jc w:val="right"/>
              <w:rPr>
                <w:rFonts w:ascii="Arial" w:hAnsi="Arial" w:cs="Arial"/>
              </w:rPr>
            </w:pPr>
            <w:r w:rsidRPr="001A6A33">
              <w:rPr>
                <w:rFonts w:ascii="Arial" w:hAnsi="Arial" w:cs="Arial"/>
              </w:rPr>
              <w:t>&lt;1</w:t>
            </w:r>
          </w:p>
        </w:tc>
      </w:tr>
      <w:tr w:rsidR="001A6A33" w:rsidRPr="001A6A33" w14:paraId="5D339F6C" w14:textId="77777777" w:rsidTr="00F0601B">
        <w:tc>
          <w:tcPr>
            <w:tcW w:w="4410" w:type="dxa"/>
          </w:tcPr>
          <w:p w14:paraId="53F35FF3" w14:textId="77777777" w:rsidR="001A6A33" w:rsidRPr="001A6A33" w:rsidRDefault="001A6A33" w:rsidP="00F0601B">
            <w:pPr>
              <w:rPr>
                <w:rFonts w:ascii="Arial" w:hAnsi="Arial" w:cs="Arial"/>
              </w:rPr>
            </w:pPr>
            <w:r w:rsidRPr="001A6A33">
              <w:rPr>
                <w:rFonts w:ascii="Arial" w:hAnsi="Arial" w:cs="Arial"/>
              </w:rPr>
              <w:t>Airports System Ref 2018D-F (REV)</w:t>
            </w:r>
          </w:p>
        </w:tc>
        <w:tc>
          <w:tcPr>
            <w:tcW w:w="281" w:type="dxa"/>
          </w:tcPr>
          <w:p w14:paraId="3AB4D0B5" w14:textId="77777777" w:rsidR="001A6A33" w:rsidRPr="001A6A33" w:rsidRDefault="001A6A33" w:rsidP="00F0601B">
            <w:pPr>
              <w:rPr>
                <w:rFonts w:ascii="Arial" w:hAnsi="Arial" w:cs="Arial"/>
              </w:rPr>
            </w:pPr>
          </w:p>
        </w:tc>
        <w:tc>
          <w:tcPr>
            <w:tcW w:w="2511" w:type="dxa"/>
          </w:tcPr>
          <w:p w14:paraId="45B78B04" w14:textId="77777777" w:rsidR="001A6A33" w:rsidRPr="001A6A33" w:rsidRDefault="001A6A33" w:rsidP="00F0601B">
            <w:pPr>
              <w:jc w:val="right"/>
              <w:rPr>
                <w:rFonts w:ascii="Arial" w:hAnsi="Arial" w:cs="Arial"/>
              </w:rPr>
            </w:pPr>
            <w:r w:rsidRPr="001A6A33">
              <w:rPr>
                <w:rFonts w:ascii="Arial" w:hAnsi="Arial" w:cs="Arial"/>
              </w:rPr>
              <w:t>7,158,671.61</w:t>
            </w:r>
          </w:p>
        </w:tc>
        <w:tc>
          <w:tcPr>
            <w:tcW w:w="301" w:type="dxa"/>
          </w:tcPr>
          <w:p w14:paraId="2D5CFB6F" w14:textId="77777777" w:rsidR="001A6A33" w:rsidRPr="001A6A33" w:rsidRDefault="001A6A33" w:rsidP="00F0601B">
            <w:pPr>
              <w:rPr>
                <w:rFonts w:ascii="Arial" w:hAnsi="Arial" w:cs="Arial"/>
              </w:rPr>
            </w:pPr>
          </w:p>
        </w:tc>
        <w:tc>
          <w:tcPr>
            <w:tcW w:w="1498" w:type="dxa"/>
          </w:tcPr>
          <w:p w14:paraId="6326A923" w14:textId="77777777" w:rsidR="001A6A33" w:rsidRPr="001A6A33" w:rsidRDefault="001A6A33" w:rsidP="00F0601B">
            <w:pPr>
              <w:jc w:val="right"/>
              <w:rPr>
                <w:rFonts w:ascii="Arial" w:hAnsi="Arial" w:cs="Arial"/>
              </w:rPr>
            </w:pPr>
            <w:r w:rsidRPr="001A6A33">
              <w:rPr>
                <w:rFonts w:ascii="Arial" w:hAnsi="Arial" w:cs="Arial"/>
              </w:rPr>
              <w:t>&lt;1</w:t>
            </w:r>
          </w:p>
        </w:tc>
      </w:tr>
      <w:tr w:rsidR="001A6A33" w:rsidRPr="001A6A33" w14:paraId="4F46F114" w14:textId="77777777" w:rsidTr="00F0601B">
        <w:tc>
          <w:tcPr>
            <w:tcW w:w="4410" w:type="dxa"/>
          </w:tcPr>
          <w:p w14:paraId="2077C7CE" w14:textId="77777777" w:rsidR="001A6A33" w:rsidRPr="001A6A33" w:rsidRDefault="001A6A33" w:rsidP="00F0601B">
            <w:pPr>
              <w:rPr>
                <w:rFonts w:ascii="Arial" w:hAnsi="Arial" w:cs="Arial"/>
              </w:rPr>
            </w:pPr>
            <w:r w:rsidRPr="001A6A33">
              <w:rPr>
                <w:rFonts w:ascii="Arial" w:hAnsi="Arial" w:cs="Arial"/>
              </w:rPr>
              <w:t>River Delta USD, SFID #1 Ser 24 (GO)</w:t>
            </w:r>
          </w:p>
        </w:tc>
        <w:tc>
          <w:tcPr>
            <w:tcW w:w="281" w:type="dxa"/>
          </w:tcPr>
          <w:p w14:paraId="2E38EDF2" w14:textId="77777777" w:rsidR="001A6A33" w:rsidRPr="001A6A33" w:rsidRDefault="001A6A33" w:rsidP="00F0601B">
            <w:pPr>
              <w:rPr>
                <w:rFonts w:ascii="Arial" w:hAnsi="Arial" w:cs="Arial"/>
              </w:rPr>
            </w:pPr>
          </w:p>
        </w:tc>
        <w:tc>
          <w:tcPr>
            <w:tcW w:w="2511" w:type="dxa"/>
          </w:tcPr>
          <w:p w14:paraId="590D3B06" w14:textId="77777777" w:rsidR="001A6A33" w:rsidRPr="001A6A33" w:rsidRDefault="001A6A33" w:rsidP="00F0601B">
            <w:pPr>
              <w:ind w:firstLine="720"/>
              <w:jc w:val="right"/>
              <w:rPr>
                <w:rFonts w:ascii="Arial" w:hAnsi="Arial" w:cs="Arial"/>
              </w:rPr>
            </w:pPr>
            <w:r w:rsidRPr="001A6A33">
              <w:rPr>
                <w:rFonts w:ascii="Arial" w:hAnsi="Arial" w:cs="Arial"/>
              </w:rPr>
              <w:t>7,5186,82.74</w:t>
            </w:r>
          </w:p>
        </w:tc>
        <w:tc>
          <w:tcPr>
            <w:tcW w:w="301" w:type="dxa"/>
          </w:tcPr>
          <w:p w14:paraId="6B9E3469" w14:textId="77777777" w:rsidR="001A6A33" w:rsidRPr="001A6A33" w:rsidRDefault="001A6A33" w:rsidP="00F0601B">
            <w:pPr>
              <w:rPr>
                <w:rFonts w:ascii="Arial" w:hAnsi="Arial" w:cs="Arial"/>
              </w:rPr>
            </w:pPr>
          </w:p>
        </w:tc>
        <w:tc>
          <w:tcPr>
            <w:tcW w:w="1498" w:type="dxa"/>
          </w:tcPr>
          <w:p w14:paraId="2F4D9B2E" w14:textId="77777777" w:rsidR="001A6A33" w:rsidRPr="001A6A33" w:rsidRDefault="001A6A33" w:rsidP="00F0601B">
            <w:pPr>
              <w:jc w:val="right"/>
              <w:rPr>
                <w:rFonts w:ascii="Arial" w:hAnsi="Arial" w:cs="Arial"/>
              </w:rPr>
            </w:pPr>
            <w:r w:rsidRPr="001A6A33">
              <w:rPr>
                <w:rFonts w:ascii="Arial" w:hAnsi="Arial" w:cs="Arial"/>
              </w:rPr>
              <w:t>&lt;1</w:t>
            </w:r>
          </w:p>
        </w:tc>
      </w:tr>
      <w:tr w:rsidR="001A6A33" w:rsidRPr="001A6A33" w14:paraId="5B860086" w14:textId="77777777" w:rsidTr="00F0601B">
        <w:tc>
          <w:tcPr>
            <w:tcW w:w="4410" w:type="dxa"/>
          </w:tcPr>
          <w:p w14:paraId="6F9B5D09" w14:textId="77777777" w:rsidR="001A6A33" w:rsidRPr="001A6A33" w:rsidRDefault="001A6A33" w:rsidP="00F0601B">
            <w:pPr>
              <w:rPr>
                <w:rFonts w:ascii="Arial" w:hAnsi="Arial" w:cs="Arial"/>
              </w:rPr>
            </w:pPr>
            <w:r w:rsidRPr="001A6A33">
              <w:rPr>
                <w:rFonts w:ascii="Arial" w:hAnsi="Arial" w:cs="Arial"/>
              </w:rPr>
              <w:t>Los Rios CCD Elec 08, Ser F (GO)</w:t>
            </w:r>
          </w:p>
        </w:tc>
        <w:tc>
          <w:tcPr>
            <w:tcW w:w="281" w:type="dxa"/>
          </w:tcPr>
          <w:p w14:paraId="364D1B21" w14:textId="77777777" w:rsidR="001A6A33" w:rsidRPr="001A6A33" w:rsidRDefault="001A6A33" w:rsidP="00F0601B">
            <w:pPr>
              <w:rPr>
                <w:rFonts w:ascii="Arial" w:hAnsi="Arial" w:cs="Arial"/>
              </w:rPr>
            </w:pPr>
          </w:p>
        </w:tc>
        <w:tc>
          <w:tcPr>
            <w:tcW w:w="2511" w:type="dxa"/>
          </w:tcPr>
          <w:p w14:paraId="47169A61" w14:textId="77777777" w:rsidR="001A6A33" w:rsidRPr="001A6A33" w:rsidRDefault="001A6A33" w:rsidP="00F0601B">
            <w:pPr>
              <w:jc w:val="right"/>
              <w:rPr>
                <w:rFonts w:ascii="Arial" w:hAnsi="Arial" w:cs="Arial"/>
              </w:rPr>
            </w:pPr>
            <w:r w:rsidRPr="001A6A33">
              <w:rPr>
                <w:rFonts w:ascii="Arial" w:hAnsi="Arial" w:cs="Arial"/>
              </w:rPr>
              <w:t>9,355,884.77</w:t>
            </w:r>
          </w:p>
        </w:tc>
        <w:tc>
          <w:tcPr>
            <w:tcW w:w="301" w:type="dxa"/>
          </w:tcPr>
          <w:p w14:paraId="492D4977" w14:textId="77777777" w:rsidR="001A6A33" w:rsidRPr="001A6A33" w:rsidRDefault="001A6A33" w:rsidP="00F0601B">
            <w:pPr>
              <w:rPr>
                <w:rFonts w:ascii="Arial" w:hAnsi="Arial" w:cs="Arial"/>
              </w:rPr>
            </w:pPr>
          </w:p>
        </w:tc>
        <w:tc>
          <w:tcPr>
            <w:tcW w:w="1498" w:type="dxa"/>
          </w:tcPr>
          <w:p w14:paraId="696825FB" w14:textId="77777777" w:rsidR="001A6A33" w:rsidRPr="001A6A33" w:rsidRDefault="001A6A33" w:rsidP="00F0601B">
            <w:pPr>
              <w:jc w:val="right"/>
              <w:rPr>
                <w:rFonts w:ascii="Arial" w:hAnsi="Arial" w:cs="Arial"/>
              </w:rPr>
            </w:pPr>
            <w:r w:rsidRPr="001A6A33">
              <w:rPr>
                <w:rFonts w:ascii="Arial" w:hAnsi="Arial" w:cs="Arial"/>
              </w:rPr>
              <w:t xml:space="preserve">  1</w:t>
            </w:r>
          </w:p>
        </w:tc>
      </w:tr>
      <w:tr w:rsidR="001A6A33" w:rsidRPr="001A6A33" w14:paraId="7310C314" w14:textId="77777777" w:rsidTr="00F0601B">
        <w:tc>
          <w:tcPr>
            <w:tcW w:w="4410" w:type="dxa"/>
          </w:tcPr>
          <w:p w14:paraId="3ECEF590" w14:textId="77777777" w:rsidR="001A6A33" w:rsidRPr="001A6A33" w:rsidRDefault="001A6A33" w:rsidP="00F0601B">
            <w:pPr>
              <w:rPr>
                <w:rFonts w:ascii="Arial" w:hAnsi="Arial" w:cs="Arial"/>
              </w:rPr>
            </w:pPr>
            <w:r w:rsidRPr="001A6A33">
              <w:rPr>
                <w:rFonts w:ascii="Arial" w:hAnsi="Arial" w:cs="Arial"/>
              </w:rPr>
              <w:t>Airports System Ref 2018A-C (REV)</w:t>
            </w:r>
          </w:p>
        </w:tc>
        <w:tc>
          <w:tcPr>
            <w:tcW w:w="281" w:type="dxa"/>
          </w:tcPr>
          <w:p w14:paraId="24AF69D5" w14:textId="77777777" w:rsidR="001A6A33" w:rsidRPr="001A6A33" w:rsidRDefault="001A6A33" w:rsidP="00F0601B">
            <w:pPr>
              <w:rPr>
                <w:rFonts w:ascii="Arial" w:hAnsi="Arial" w:cs="Arial"/>
              </w:rPr>
            </w:pPr>
          </w:p>
        </w:tc>
        <w:tc>
          <w:tcPr>
            <w:tcW w:w="2511" w:type="dxa"/>
          </w:tcPr>
          <w:p w14:paraId="787BE605" w14:textId="77777777" w:rsidR="001A6A33" w:rsidRPr="001A6A33" w:rsidRDefault="001A6A33" w:rsidP="00F0601B">
            <w:pPr>
              <w:jc w:val="right"/>
              <w:rPr>
                <w:rFonts w:ascii="Arial" w:hAnsi="Arial" w:cs="Arial"/>
              </w:rPr>
            </w:pPr>
            <w:r w:rsidRPr="001A6A33">
              <w:rPr>
                <w:rFonts w:ascii="Arial" w:hAnsi="Arial" w:cs="Arial"/>
              </w:rPr>
              <w:t>18,939,994.22</w:t>
            </w:r>
          </w:p>
        </w:tc>
        <w:tc>
          <w:tcPr>
            <w:tcW w:w="301" w:type="dxa"/>
          </w:tcPr>
          <w:p w14:paraId="44343F42" w14:textId="77777777" w:rsidR="001A6A33" w:rsidRPr="001A6A33" w:rsidRDefault="001A6A33" w:rsidP="00F0601B">
            <w:pPr>
              <w:rPr>
                <w:rFonts w:ascii="Arial" w:hAnsi="Arial" w:cs="Arial"/>
              </w:rPr>
            </w:pPr>
          </w:p>
        </w:tc>
        <w:tc>
          <w:tcPr>
            <w:tcW w:w="1498" w:type="dxa"/>
          </w:tcPr>
          <w:p w14:paraId="236BA11E" w14:textId="77777777" w:rsidR="001A6A33" w:rsidRPr="001A6A33" w:rsidRDefault="001A6A33" w:rsidP="00F0601B">
            <w:pPr>
              <w:jc w:val="right"/>
              <w:rPr>
                <w:rFonts w:ascii="Arial" w:hAnsi="Arial" w:cs="Arial"/>
              </w:rPr>
            </w:pPr>
            <w:r w:rsidRPr="001A6A33">
              <w:rPr>
                <w:rFonts w:ascii="Arial" w:hAnsi="Arial" w:cs="Arial"/>
              </w:rPr>
              <w:t xml:space="preserve">  1</w:t>
            </w:r>
          </w:p>
        </w:tc>
      </w:tr>
      <w:tr w:rsidR="001A6A33" w:rsidRPr="001A6A33" w14:paraId="1036E0E9" w14:textId="77777777" w:rsidTr="00F0601B">
        <w:tc>
          <w:tcPr>
            <w:tcW w:w="4410" w:type="dxa"/>
          </w:tcPr>
          <w:p w14:paraId="6518C588" w14:textId="77777777" w:rsidR="001A6A33" w:rsidRPr="001A6A33" w:rsidRDefault="001A6A33" w:rsidP="00F0601B">
            <w:pPr>
              <w:tabs>
                <w:tab w:val="left" w:pos="3285"/>
              </w:tabs>
              <w:rPr>
                <w:rFonts w:ascii="Arial" w:hAnsi="Arial" w:cs="Arial"/>
              </w:rPr>
            </w:pPr>
            <w:r w:rsidRPr="001A6A33">
              <w:rPr>
                <w:rFonts w:ascii="Arial" w:hAnsi="Arial" w:cs="Arial"/>
              </w:rPr>
              <w:t>FCUSD SFID #4, (Measure S) (GO)</w:t>
            </w:r>
          </w:p>
        </w:tc>
        <w:tc>
          <w:tcPr>
            <w:tcW w:w="281" w:type="dxa"/>
          </w:tcPr>
          <w:p w14:paraId="025EE892" w14:textId="77777777" w:rsidR="001A6A33" w:rsidRPr="001A6A33" w:rsidRDefault="001A6A33" w:rsidP="00F0601B">
            <w:pPr>
              <w:rPr>
                <w:rFonts w:ascii="Arial" w:hAnsi="Arial" w:cs="Arial"/>
              </w:rPr>
            </w:pPr>
          </w:p>
        </w:tc>
        <w:tc>
          <w:tcPr>
            <w:tcW w:w="2511" w:type="dxa"/>
          </w:tcPr>
          <w:p w14:paraId="0E0CEDAD" w14:textId="77777777" w:rsidR="001A6A33" w:rsidRPr="001A6A33" w:rsidRDefault="001A6A33" w:rsidP="00F0601B">
            <w:pPr>
              <w:jc w:val="right"/>
              <w:rPr>
                <w:rFonts w:ascii="Arial" w:hAnsi="Arial" w:cs="Arial"/>
              </w:rPr>
            </w:pPr>
            <w:r w:rsidRPr="001A6A33">
              <w:rPr>
                <w:rFonts w:ascii="Arial" w:hAnsi="Arial" w:cs="Arial"/>
              </w:rPr>
              <w:t>25,412,459.8</w:t>
            </w:r>
          </w:p>
        </w:tc>
        <w:tc>
          <w:tcPr>
            <w:tcW w:w="301" w:type="dxa"/>
          </w:tcPr>
          <w:p w14:paraId="2106C804" w14:textId="77777777" w:rsidR="001A6A33" w:rsidRPr="001A6A33" w:rsidRDefault="001A6A33" w:rsidP="00F0601B">
            <w:pPr>
              <w:rPr>
                <w:rFonts w:ascii="Arial" w:hAnsi="Arial" w:cs="Arial"/>
              </w:rPr>
            </w:pPr>
          </w:p>
        </w:tc>
        <w:tc>
          <w:tcPr>
            <w:tcW w:w="1498" w:type="dxa"/>
          </w:tcPr>
          <w:p w14:paraId="1C33F47B" w14:textId="77777777" w:rsidR="001A6A33" w:rsidRPr="001A6A33" w:rsidRDefault="001A6A33" w:rsidP="00F0601B">
            <w:pPr>
              <w:jc w:val="right"/>
              <w:rPr>
                <w:rFonts w:ascii="Arial" w:hAnsi="Arial" w:cs="Arial"/>
              </w:rPr>
            </w:pPr>
            <w:r w:rsidRPr="001A6A33">
              <w:rPr>
                <w:rFonts w:ascii="Arial" w:hAnsi="Arial" w:cs="Arial"/>
              </w:rPr>
              <w:t xml:space="preserve">  2</w:t>
            </w:r>
          </w:p>
        </w:tc>
      </w:tr>
      <w:tr w:rsidR="001A6A33" w:rsidRPr="001A6A33" w14:paraId="73B11347" w14:textId="77777777" w:rsidTr="00F0601B">
        <w:tc>
          <w:tcPr>
            <w:tcW w:w="4410" w:type="dxa"/>
          </w:tcPr>
          <w:p w14:paraId="245F1666" w14:textId="77777777" w:rsidR="001A6A33" w:rsidRPr="001A6A33" w:rsidRDefault="001A6A33" w:rsidP="00F0601B">
            <w:pPr>
              <w:rPr>
                <w:rFonts w:ascii="Arial" w:hAnsi="Arial" w:cs="Arial"/>
              </w:rPr>
            </w:pPr>
            <w:r w:rsidRPr="001A6A33">
              <w:rPr>
                <w:rFonts w:ascii="Arial" w:hAnsi="Arial" w:cs="Arial"/>
              </w:rPr>
              <w:t>FCUSD SFID #3, Series D (GO)</w:t>
            </w:r>
          </w:p>
        </w:tc>
        <w:tc>
          <w:tcPr>
            <w:tcW w:w="281" w:type="dxa"/>
          </w:tcPr>
          <w:p w14:paraId="6EEB1308" w14:textId="77777777" w:rsidR="001A6A33" w:rsidRPr="001A6A33" w:rsidRDefault="001A6A33" w:rsidP="00F0601B">
            <w:pPr>
              <w:rPr>
                <w:rFonts w:ascii="Arial" w:hAnsi="Arial" w:cs="Arial"/>
              </w:rPr>
            </w:pPr>
          </w:p>
        </w:tc>
        <w:tc>
          <w:tcPr>
            <w:tcW w:w="2511" w:type="dxa"/>
          </w:tcPr>
          <w:p w14:paraId="4B45FACA" w14:textId="77777777" w:rsidR="001A6A33" w:rsidRPr="001A6A33" w:rsidRDefault="001A6A33" w:rsidP="00F0601B">
            <w:pPr>
              <w:jc w:val="right"/>
              <w:rPr>
                <w:rFonts w:ascii="Arial" w:hAnsi="Arial" w:cs="Arial"/>
              </w:rPr>
            </w:pPr>
            <w:r w:rsidRPr="001A6A33">
              <w:rPr>
                <w:rFonts w:ascii="Arial" w:hAnsi="Arial" w:cs="Arial"/>
              </w:rPr>
              <w:t>26,162,778.8</w:t>
            </w:r>
          </w:p>
        </w:tc>
        <w:tc>
          <w:tcPr>
            <w:tcW w:w="301" w:type="dxa"/>
          </w:tcPr>
          <w:p w14:paraId="56B2EBFA" w14:textId="77777777" w:rsidR="001A6A33" w:rsidRPr="001A6A33" w:rsidRDefault="001A6A33" w:rsidP="00F0601B">
            <w:pPr>
              <w:rPr>
                <w:rFonts w:ascii="Arial" w:hAnsi="Arial" w:cs="Arial"/>
              </w:rPr>
            </w:pPr>
          </w:p>
        </w:tc>
        <w:tc>
          <w:tcPr>
            <w:tcW w:w="1498" w:type="dxa"/>
          </w:tcPr>
          <w:p w14:paraId="2913B26F" w14:textId="77777777" w:rsidR="001A6A33" w:rsidRPr="001A6A33" w:rsidRDefault="001A6A33" w:rsidP="00F0601B">
            <w:pPr>
              <w:jc w:val="right"/>
              <w:rPr>
                <w:rFonts w:ascii="Arial" w:hAnsi="Arial" w:cs="Arial"/>
              </w:rPr>
            </w:pPr>
            <w:r w:rsidRPr="001A6A33">
              <w:rPr>
                <w:rFonts w:ascii="Arial" w:hAnsi="Arial" w:cs="Arial"/>
              </w:rPr>
              <w:t xml:space="preserve">  2</w:t>
            </w:r>
          </w:p>
        </w:tc>
      </w:tr>
      <w:tr w:rsidR="001A6A33" w:rsidRPr="001A6A33" w14:paraId="1B14BA71" w14:textId="77777777" w:rsidTr="00F0601B">
        <w:tc>
          <w:tcPr>
            <w:tcW w:w="4410" w:type="dxa"/>
          </w:tcPr>
          <w:p w14:paraId="6B3D8B84" w14:textId="77777777" w:rsidR="001A6A33" w:rsidRPr="001A6A33" w:rsidRDefault="001A6A33" w:rsidP="00F0601B">
            <w:pPr>
              <w:rPr>
                <w:rFonts w:ascii="Arial" w:hAnsi="Arial" w:cs="Arial"/>
              </w:rPr>
            </w:pPr>
            <w:r w:rsidRPr="001A6A33">
              <w:rPr>
                <w:rFonts w:ascii="Arial" w:hAnsi="Arial" w:cs="Arial"/>
              </w:rPr>
              <w:t>Metro Air Park CFD, Ser 22 (MR)</w:t>
            </w:r>
          </w:p>
        </w:tc>
        <w:tc>
          <w:tcPr>
            <w:tcW w:w="281" w:type="dxa"/>
          </w:tcPr>
          <w:p w14:paraId="331E498E" w14:textId="77777777" w:rsidR="001A6A33" w:rsidRPr="001A6A33" w:rsidRDefault="001A6A33" w:rsidP="00F0601B">
            <w:pPr>
              <w:rPr>
                <w:rFonts w:ascii="Arial" w:hAnsi="Arial" w:cs="Arial"/>
              </w:rPr>
            </w:pPr>
          </w:p>
        </w:tc>
        <w:tc>
          <w:tcPr>
            <w:tcW w:w="2511" w:type="dxa"/>
          </w:tcPr>
          <w:p w14:paraId="2BF89724" w14:textId="77777777" w:rsidR="001A6A33" w:rsidRPr="001A6A33" w:rsidRDefault="001A6A33" w:rsidP="00F0601B">
            <w:pPr>
              <w:jc w:val="right"/>
              <w:rPr>
                <w:rFonts w:ascii="Arial" w:hAnsi="Arial" w:cs="Arial"/>
              </w:rPr>
            </w:pPr>
            <w:r w:rsidRPr="001A6A33">
              <w:rPr>
                <w:rFonts w:ascii="Arial" w:hAnsi="Arial" w:cs="Arial"/>
              </w:rPr>
              <w:t>28,905,024.67</w:t>
            </w:r>
          </w:p>
        </w:tc>
        <w:tc>
          <w:tcPr>
            <w:tcW w:w="301" w:type="dxa"/>
          </w:tcPr>
          <w:p w14:paraId="7ACB0FA6" w14:textId="77777777" w:rsidR="001A6A33" w:rsidRPr="001A6A33" w:rsidRDefault="001A6A33" w:rsidP="00F0601B">
            <w:pPr>
              <w:rPr>
                <w:rFonts w:ascii="Arial" w:hAnsi="Arial" w:cs="Arial"/>
              </w:rPr>
            </w:pPr>
          </w:p>
        </w:tc>
        <w:tc>
          <w:tcPr>
            <w:tcW w:w="1498" w:type="dxa"/>
          </w:tcPr>
          <w:p w14:paraId="5B244FC2" w14:textId="77777777" w:rsidR="001A6A33" w:rsidRPr="001A6A33" w:rsidRDefault="001A6A33" w:rsidP="00F0601B">
            <w:pPr>
              <w:jc w:val="right"/>
              <w:rPr>
                <w:rFonts w:ascii="Arial" w:hAnsi="Arial" w:cs="Arial"/>
              </w:rPr>
            </w:pPr>
            <w:r w:rsidRPr="001A6A33">
              <w:rPr>
                <w:rFonts w:ascii="Arial" w:hAnsi="Arial" w:cs="Arial"/>
              </w:rPr>
              <w:t xml:space="preserve">  2</w:t>
            </w:r>
          </w:p>
        </w:tc>
      </w:tr>
      <w:tr w:rsidR="001A6A33" w:rsidRPr="001A6A33" w14:paraId="6EB51F11" w14:textId="77777777" w:rsidTr="00F0601B">
        <w:tc>
          <w:tcPr>
            <w:tcW w:w="4410" w:type="dxa"/>
          </w:tcPr>
          <w:p w14:paraId="05414949" w14:textId="77777777" w:rsidR="001A6A33" w:rsidRPr="001A6A33" w:rsidRDefault="001A6A33" w:rsidP="00F0601B">
            <w:pPr>
              <w:rPr>
                <w:rFonts w:ascii="Arial" w:hAnsi="Arial" w:cs="Arial"/>
              </w:rPr>
            </w:pPr>
            <w:r w:rsidRPr="001A6A33">
              <w:rPr>
                <w:rFonts w:ascii="Arial" w:hAnsi="Arial" w:cs="Arial"/>
              </w:rPr>
              <w:t>Airports System, Series 2025A (REV)</w:t>
            </w:r>
          </w:p>
        </w:tc>
        <w:tc>
          <w:tcPr>
            <w:tcW w:w="281" w:type="dxa"/>
          </w:tcPr>
          <w:p w14:paraId="34A52CE4" w14:textId="77777777" w:rsidR="001A6A33" w:rsidRPr="001A6A33" w:rsidRDefault="001A6A33" w:rsidP="00F0601B">
            <w:pPr>
              <w:rPr>
                <w:rFonts w:ascii="Arial" w:hAnsi="Arial" w:cs="Arial"/>
              </w:rPr>
            </w:pPr>
          </w:p>
        </w:tc>
        <w:tc>
          <w:tcPr>
            <w:tcW w:w="2511" w:type="dxa"/>
            <w:tcBorders>
              <w:bottom w:val="single" w:sz="4" w:space="0" w:color="auto"/>
            </w:tcBorders>
          </w:tcPr>
          <w:p w14:paraId="3FB80995" w14:textId="77777777" w:rsidR="001A6A33" w:rsidRPr="001A6A33" w:rsidRDefault="001A6A33" w:rsidP="00F0601B">
            <w:pPr>
              <w:jc w:val="right"/>
              <w:rPr>
                <w:rFonts w:ascii="Arial" w:hAnsi="Arial" w:cs="Arial"/>
              </w:rPr>
            </w:pPr>
            <w:r w:rsidRPr="001A6A33">
              <w:rPr>
                <w:rFonts w:ascii="Arial" w:hAnsi="Arial" w:cs="Arial"/>
              </w:rPr>
              <w:t>265,046,494.79</w:t>
            </w:r>
          </w:p>
        </w:tc>
        <w:tc>
          <w:tcPr>
            <w:tcW w:w="301" w:type="dxa"/>
          </w:tcPr>
          <w:p w14:paraId="12548268" w14:textId="77777777" w:rsidR="001A6A33" w:rsidRPr="001A6A33" w:rsidRDefault="001A6A33" w:rsidP="00F0601B">
            <w:pPr>
              <w:rPr>
                <w:rFonts w:ascii="Arial" w:hAnsi="Arial" w:cs="Arial"/>
              </w:rPr>
            </w:pPr>
          </w:p>
        </w:tc>
        <w:tc>
          <w:tcPr>
            <w:tcW w:w="1498" w:type="dxa"/>
            <w:tcBorders>
              <w:bottom w:val="single" w:sz="4" w:space="0" w:color="auto"/>
            </w:tcBorders>
          </w:tcPr>
          <w:p w14:paraId="4F1B8B20" w14:textId="77777777" w:rsidR="001A6A33" w:rsidRPr="001A6A33" w:rsidRDefault="001A6A33" w:rsidP="00F0601B">
            <w:pPr>
              <w:jc w:val="right"/>
              <w:rPr>
                <w:rFonts w:ascii="Arial" w:hAnsi="Arial" w:cs="Arial"/>
              </w:rPr>
            </w:pPr>
            <w:r w:rsidRPr="001A6A33">
              <w:rPr>
                <w:rFonts w:ascii="Arial" w:hAnsi="Arial" w:cs="Arial"/>
              </w:rPr>
              <w:t>16</w:t>
            </w:r>
          </w:p>
        </w:tc>
      </w:tr>
      <w:tr w:rsidR="001A6A33" w:rsidRPr="001A6A33" w14:paraId="26C4E8AE" w14:textId="77777777" w:rsidTr="00F0601B">
        <w:tc>
          <w:tcPr>
            <w:tcW w:w="4410" w:type="dxa"/>
          </w:tcPr>
          <w:p w14:paraId="3575C437" w14:textId="77777777" w:rsidR="001A6A33" w:rsidRPr="001A6A33" w:rsidRDefault="001A6A33" w:rsidP="00F0601B">
            <w:pPr>
              <w:rPr>
                <w:rFonts w:ascii="Arial" w:hAnsi="Arial" w:cs="Arial"/>
              </w:rPr>
            </w:pPr>
          </w:p>
          <w:p w14:paraId="01F54155" w14:textId="77777777" w:rsidR="001A6A33" w:rsidRPr="001A6A33" w:rsidRDefault="001A6A33" w:rsidP="00F0601B">
            <w:pPr>
              <w:rPr>
                <w:rFonts w:ascii="Arial" w:hAnsi="Arial" w:cs="Arial"/>
              </w:rPr>
            </w:pPr>
            <w:r w:rsidRPr="001A6A33">
              <w:rPr>
                <w:rFonts w:ascii="Arial" w:hAnsi="Arial" w:cs="Arial"/>
              </w:rPr>
              <w:t>Total Non-pooled Investments tested</w:t>
            </w:r>
          </w:p>
        </w:tc>
        <w:tc>
          <w:tcPr>
            <w:tcW w:w="281" w:type="dxa"/>
          </w:tcPr>
          <w:p w14:paraId="38D81B11" w14:textId="77777777" w:rsidR="001A6A33" w:rsidRPr="001A6A33" w:rsidRDefault="001A6A33" w:rsidP="00F0601B">
            <w:pPr>
              <w:rPr>
                <w:rFonts w:ascii="Arial" w:hAnsi="Arial" w:cs="Arial"/>
              </w:rPr>
            </w:pPr>
          </w:p>
        </w:tc>
        <w:tc>
          <w:tcPr>
            <w:tcW w:w="2511" w:type="dxa"/>
            <w:tcBorders>
              <w:top w:val="single" w:sz="4" w:space="0" w:color="auto"/>
              <w:bottom w:val="double" w:sz="4" w:space="0" w:color="auto"/>
            </w:tcBorders>
          </w:tcPr>
          <w:p w14:paraId="55933611" w14:textId="77777777" w:rsidR="001A6A33" w:rsidRPr="001A6A33" w:rsidRDefault="001A6A33" w:rsidP="00F0601B">
            <w:pPr>
              <w:jc w:val="right"/>
              <w:rPr>
                <w:rFonts w:ascii="Arial" w:hAnsi="Arial" w:cs="Arial"/>
              </w:rPr>
            </w:pPr>
            <w:r w:rsidRPr="001A6A33">
              <w:rPr>
                <w:rFonts w:ascii="Arial" w:hAnsi="Arial" w:cs="Arial"/>
              </w:rPr>
              <w:t xml:space="preserve">       </w:t>
            </w:r>
          </w:p>
          <w:p w14:paraId="0B8E0152" w14:textId="77777777" w:rsidR="001A6A33" w:rsidRPr="001A6A33" w:rsidRDefault="001A6A33" w:rsidP="00F0601B">
            <w:pPr>
              <w:jc w:val="right"/>
              <w:rPr>
                <w:rFonts w:ascii="Arial" w:hAnsi="Arial" w:cs="Arial"/>
              </w:rPr>
            </w:pPr>
            <w:r w:rsidRPr="001A6A33">
              <w:rPr>
                <w:rFonts w:ascii="Arial" w:hAnsi="Arial" w:cs="Arial"/>
              </w:rPr>
              <w:t xml:space="preserve"> 403,007,772.08 </w:t>
            </w:r>
          </w:p>
        </w:tc>
        <w:tc>
          <w:tcPr>
            <w:tcW w:w="301" w:type="dxa"/>
          </w:tcPr>
          <w:p w14:paraId="61D563C7" w14:textId="77777777" w:rsidR="001A6A33" w:rsidRPr="001A6A33" w:rsidRDefault="001A6A33" w:rsidP="00F0601B">
            <w:pPr>
              <w:rPr>
                <w:rFonts w:ascii="Arial" w:hAnsi="Arial" w:cs="Arial"/>
              </w:rPr>
            </w:pPr>
          </w:p>
        </w:tc>
        <w:tc>
          <w:tcPr>
            <w:tcW w:w="1498" w:type="dxa"/>
            <w:tcBorders>
              <w:top w:val="single" w:sz="4" w:space="0" w:color="auto"/>
              <w:bottom w:val="double" w:sz="4" w:space="0" w:color="auto"/>
            </w:tcBorders>
          </w:tcPr>
          <w:p w14:paraId="5261C3F3" w14:textId="77777777" w:rsidR="001A6A33" w:rsidRPr="001A6A33" w:rsidRDefault="001A6A33" w:rsidP="00F0601B">
            <w:pPr>
              <w:jc w:val="right"/>
              <w:rPr>
                <w:rFonts w:ascii="Arial" w:hAnsi="Arial" w:cs="Arial"/>
              </w:rPr>
            </w:pPr>
          </w:p>
          <w:p w14:paraId="0BA72862" w14:textId="77777777" w:rsidR="001A6A33" w:rsidRPr="001A6A33" w:rsidRDefault="001A6A33" w:rsidP="00F0601B">
            <w:pPr>
              <w:jc w:val="right"/>
              <w:rPr>
                <w:rFonts w:ascii="Arial" w:hAnsi="Arial" w:cs="Arial"/>
              </w:rPr>
            </w:pPr>
            <w:r w:rsidRPr="001A6A33">
              <w:rPr>
                <w:rFonts w:ascii="Arial" w:hAnsi="Arial" w:cs="Arial"/>
              </w:rPr>
              <w:t>25</w:t>
            </w:r>
          </w:p>
        </w:tc>
      </w:tr>
      <w:tr w:rsidR="001A6A33" w:rsidRPr="001A6A33" w14:paraId="679C7E95" w14:textId="77777777" w:rsidTr="00F0601B">
        <w:tc>
          <w:tcPr>
            <w:tcW w:w="4410" w:type="dxa"/>
          </w:tcPr>
          <w:p w14:paraId="6B1F3413" w14:textId="77777777" w:rsidR="001A6A33" w:rsidRPr="001A6A33" w:rsidRDefault="001A6A33" w:rsidP="00F0601B">
            <w:pPr>
              <w:rPr>
                <w:rFonts w:ascii="Arial" w:hAnsi="Arial" w:cs="Arial"/>
              </w:rPr>
            </w:pPr>
          </w:p>
          <w:p w14:paraId="271DA714" w14:textId="77777777" w:rsidR="001A6A33" w:rsidRPr="001A6A33" w:rsidRDefault="001A6A33" w:rsidP="00F0601B">
            <w:pPr>
              <w:rPr>
                <w:rFonts w:ascii="Arial" w:hAnsi="Arial" w:cs="Arial"/>
              </w:rPr>
            </w:pPr>
            <w:r w:rsidRPr="001A6A33">
              <w:rPr>
                <w:rFonts w:ascii="Arial" w:hAnsi="Arial" w:cs="Arial"/>
              </w:rPr>
              <w:t>Total Non-Pooled Investments</w:t>
            </w:r>
          </w:p>
        </w:tc>
        <w:tc>
          <w:tcPr>
            <w:tcW w:w="281" w:type="dxa"/>
          </w:tcPr>
          <w:p w14:paraId="379F6C94" w14:textId="77777777" w:rsidR="001A6A33" w:rsidRPr="001A6A33" w:rsidRDefault="001A6A33" w:rsidP="00F0601B">
            <w:pPr>
              <w:rPr>
                <w:rFonts w:ascii="Arial" w:hAnsi="Arial" w:cs="Arial"/>
              </w:rPr>
            </w:pPr>
          </w:p>
        </w:tc>
        <w:tc>
          <w:tcPr>
            <w:tcW w:w="2511" w:type="dxa"/>
            <w:tcBorders>
              <w:top w:val="double" w:sz="4" w:space="0" w:color="auto"/>
              <w:bottom w:val="double" w:sz="4" w:space="0" w:color="auto"/>
            </w:tcBorders>
          </w:tcPr>
          <w:p w14:paraId="7A153A16" w14:textId="77777777" w:rsidR="001A6A33" w:rsidRPr="001A6A33" w:rsidRDefault="001A6A33" w:rsidP="00F0601B">
            <w:pPr>
              <w:jc w:val="right"/>
              <w:rPr>
                <w:rFonts w:ascii="Arial" w:hAnsi="Arial" w:cs="Arial"/>
              </w:rPr>
            </w:pPr>
          </w:p>
          <w:p w14:paraId="1B625368" w14:textId="77777777" w:rsidR="001A6A33" w:rsidRPr="001A6A33" w:rsidRDefault="001A6A33" w:rsidP="00F0601B">
            <w:pPr>
              <w:jc w:val="right"/>
              <w:rPr>
                <w:rFonts w:ascii="Arial" w:hAnsi="Arial" w:cs="Arial"/>
              </w:rPr>
            </w:pPr>
            <w:proofErr w:type="gramStart"/>
            <w:r w:rsidRPr="001A6A33">
              <w:rPr>
                <w:rFonts w:ascii="Arial" w:hAnsi="Arial" w:cs="Arial"/>
              </w:rPr>
              <w:t>$  1,609,697,499.08</w:t>
            </w:r>
            <w:proofErr w:type="gramEnd"/>
          </w:p>
        </w:tc>
        <w:tc>
          <w:tcPr>
            <w:tcW w:w="301" w:type="dxa"/>
          </w:tcPr>
          <w:p w14:paraId="26268889" w14:textId="77777777" w:rsidR="001A6A33" w:rsidRPr="001A6A33" w:rsidRDefault="001A6A33" w:rsidP="00F0601B">
            <w:pPr>
              <w:rPr>
                <w:rFonts w:ascii="Arial" w:hAnsi="Arial" w:cs="Arial"/>
              </w:rPr>
            </w:pPr>
          </w:p>
        </w:tc>
        <w:tc>
          <w:tcPr>
            <w:tcW w:w="1498" w:type="dxa"/>
            <w:tcBorders>
              <w:top w:val="double" w:sz="4" w:space="0" w:color="auto"/>
              <w:bottom w:val="double" w:sz="4" w:space="0" w:color="auto"/>
            </w:tcBorders>
          </w:tcPr>
          <w:p w14:paraId="2F50BBC0" w14:textId="77777777" w:rsidR="001A6A33" w:rsidRPr="001A6A33" w:rsidRDefault="001A6A33" w:rsidP="00F0601B">
            <w:pPr>
              <w:jc w:val="right"/>
              <w:rPr>
                <w:rFonts w:ascii="Arial" w:hAnsi="Arial" w:cs="Arial"/>
              </w:rPr>
            </w:pPr>
          </w:p>
          <w:p w14:paraId="473F6F45" w14:textId="77777777" w:rsidR="001A6A33" w:rsidRPr="001A6A33" w:rsidRDefault="001A6A33" w:rsidP="00F0601B">
            <w:pPr>
              <w:jc w:val="right"/>
              <w:rPr>
                <w:rFonts w:ascii="Arial" w:hAnsi="Arial" w:cs="Arial"/>
              </w:rPr>
            </w:pPr>
            <w:r w:rsidRPr="001A6A33">
              <w:rPr>
                <w:rFonts w:ascii="Arial" w:hAnsi="Arial" w:cs="Arial"/>
              </w:rPr>
              <w:t>100</w:t>
            </w:r>
          </w:p>
        </w:tc>
      </w:tr>
    </w:tbl>
    <w:p w14:paraId="79B11622" w14:textId="77777777" w:rsidR="001A6A33" w:rsidRPr="001A6A33" w:rsidRDefault="001A6A33" w:rsidP="001A6A33">
      <w:pPr>
        <w:rPr>
          <w:rFonts w:ascii="Arial" w:hAnsi="Arial" w:cs="Arial"/>
          <w:szCs w:val="24"/>
        </w:rPr>
      </w:pPr>
    </w:p>
    <w:p w14:paraId="19AB07CC" w14:textId="77777777" w:rsidR="001A6A33" w:rsidRPr="001A6A33" w:rsidRDefault="001A6A33" w:rsidP="001A6A33">
      <w:pPr>
        <w:pStyle w:val="ListParagraph"/>
        <w:numPr>
          <w:ilvl w:val="0"/>
          <w:numId w:val="2"/>
        </w:numPr>
        <w:tabs>
          <w:tab w:val="left" w:pos="450"/>
        </w:tabs>
        <w:spacing w:before="0" w:after="160" w:line="278" w:lineRule="auto"/>
        <w:ind w:left="360"/>
        <w:jc w:val="both"/>
        <w:rPr>
          <w:rFonts w:ascii="Arial" w:hAnsi="Arial" w:cs="Arial"/>
          <w:sz w:val="24"/>
        </w:rPr>
      </w:pPr>
      <w:r w:rsidRPr="001A6A33">
        <w:rPr>
          <w:rFonts w:ascii="Arial" w:hAnsi="Arial" w:cs="Arial"/>
          <w:sz w:val="24"/>
        </w:rPr>
        <w:t xml:space="preserve">The sample of non-pooled investments was selected based upon outstanding issues on March 31, </w:t>
      </w:r>
      <w:proofErr w:type="gramStart"/>
      <w:r w:rsidRPr="001A6A33">
        <w:rPr>
          <w:rFonts w:ascii="Arial" w:hAnsi="Arial" w:cs="Arial"/>
          <w:sz w:val="24"/>
        </w:rPr>
        <w:t>2026</w:t>
      </w:r>
      <w:proofErr w:type="gramEnd"/>
      <w:r w:rsidRPr="001A6A33">
        <w:rPr>
          <w:rFonts w:ascii="Arial" w:hAnsi="Arial" w:cs="Arial"/>
          <w:sz w:val="24"/>
        </w:rPr>
        <w:t xml:space="preserve"> including any untested new issues since quarter ended December 31, 2025.</w:t>
      </w:r>
    </w:p>
    <w:p w14:paraId="5156D0E2" w14:textId="77777777" w:rsidR="001A6A33" w:rsidRPr="001A6A33" w:rsidRDefault="001A6A33" w:rsidP="001A6A33">
      <w:pPr>
        <w:pStyle w:val="ListParagraph"/>
        <w:tabs>
          <w:tab w:val="left" w:pos="450"/>
        </w:tabs>
        <w:ind w:left="360"/>
        <w:jc w:val="both"/>
        <w:rPr>
          <w:rFonts w:ascii="Arial" w:hAnsi="Arial" w:cs="Arial"/>
          <w:sz w:val="24"/>
        </w:rPr>
      </w:pPr>
    </w:p>
    <w:p w14:paraId="0A985BA6" w14:textId="77777777" w:rsidR="001A6A33" w:rsidRPr="001A6A33" w:rsidRDefault="001A6A33" w:rsidP="001A6A33">
      <w:pPr>
        <w:pStyle w:val="ListParagraph"/>
        <w:numPr>
          <w:ilvl w:val="0"/>
          <w:numId w:val="2"/>
        </w:numPr>
        <w:tabs>
          <w:tab w:val="left" w:pos="450"/>
        </w:tabs>
        <w:spacing w:before="0" w:after="160" w:line="278" w:lineRule="auto"/>
        <w:ind w:left="360"/>
        <w:jc w:val="both"/>
        <w:rPr>
          <w:rFonts w:ascii="Arial" w:hAnsi="Arial" w:cs="Arial"/>
          <w:sz w:val="24"/>
        </w:rPr>
      </w:pPr>
      <w:r w:rsidRPr="001A6A33">
        <w:rPr>
          <w:rFonts w:ascii="Arial" w:hAnsi="Arial" w:cs="Arial"/>
          <w:sz w:val="24"/>
        </w:rPr>
        <w:t>The sum of percentages may differ due to rounding.</w:t>
      </w:r>
    </w:p>
    <w:p w14:paraId="1200B837" w14:textId="77777777" w:rsidR="001A6A33" w:rsidRPr="001A6A33" w:rsidRDefault="001A6A33" w:rsidP="001A6A33">
      <w:pPr>
        <w:pStyle w:val="ListParagraph"/>
        <w:rPr>
          <w:rFonts w:ascii="Arial" w:hAnsi="Arial" w:cs="Arial"/>
          <w:sz w:val="24"/>
        </w:rPr>
      </w:pPr>
    </w:p>
    <w:p w14:paraId="40A7BF57" w14:textId="77777777" w:rsidR="001A6A33" w:rsidRPr="001A6A33" w:rsidRDefault="001A6A33" w:rsidP="001A6A33">
      <w:pPr>
        <w:ind w:firstLine="360"/>
        <w:jc w:val="both"/>
        <w:rPr>
          <w:rFonts w:ascii="Arial" w:hAnsi="Arial" w:cs="Arial"/>
          <w:szCs w:val="24"/>
          <w:u w:val="single"/>
        </w:rPr>
      </w:pPr>
      <w:r w:rsidRPr="001A6A33">
        <w:rPr>
          <w:rFonts w:ascii="Arial" w:hAnsi="Arial" w:cs="Arial"/>
          <w:szCs w:val="24"/>
          <w:u w:val="single"/>
        </w:rPr>
        <w:t>Fund Type</w:t>
      </w:r>
    </w:p>
    <w:p w14:paraId="7E6450A2" w14:textId="77777777" w:rsidR="001A6A33" w:rsidRPr="001A6A33" w:rsidRDefault="001A6A33" w:rsidP="001A6A33">
      <w:pPr>
        <w:ind w:firstLine="360"/>
        <w:jc w:val="both"/>
        <w:rPr>
          <w:rFonts w:ascii="Arial" w:hAnsi="Arial" w:cs="Arial"/>
          <w:szCs w:val="24"/>
        </w:rPr>
      </w:pPr>
      <w:r w:rsidRPr="001A6A33">
        <w:rPr>
          <w:rFonts w:ascii="Arial" w:hAnsi="Arial" w:cs="Arial"/>
          <w:szCs w:val="24"/>
        </w:rPr>
        <w:t>(GO) - General Obligation Bonds</w:t>
      </w:r>
    </w:p>
    <w:p w14:paraId="6976437F" w14:textId="77777777" w:rsidR="001A6A33" w:rsidRPr="001A6A33" w:rsidRDefault="001A6A33" w:rsidP="001A6A33">
      <w:pPr>
        <w:ind w:firstLine="360"/>
        <w:jc w:val="both"/>
        <w:rPr>
          <w:rFonts w:ascii="Arial" w:hAnsi="Arial" w:cs="Arial"/>
          <w:szCs w:val="24"/>
        </w:rPr>
      </w:pPr>
      <w:r w:rsidRPr="001A6A33">
        <w:rPr>
          <w:rFonts w:ascii="Arial" w:hAnsi="Arial" w:cs="Arial"/>
          <w:szCs w:val="24"/>
        </w:rPr>
        <w:t xml:space="preserve">(MR) - Mello </w:t>
      </w:r>
      <w:proofErr w:type="spellStart"/>
      <w:r w:rsidRPr="001A6A33">
        <w:rPr>
          <w:rFonts w:ascii="Arial" w:hAnsi="Arial" w:cs="Arial"/>
          <w:szCs w:val="24"/>
        </w:rPr>
        <w:t>Roos</w:t>
      </w:r>
      <w:proofErr w:type="spellEnd"/>
      <w:r w:rsidRPr="001A6A33">
        <w:rPr>
          <w:rFonts w:ascii="Arial" w:hAnsi="Arial" w:cs="Arial"/>
          <w:szCs w:val="24"/>
        </w:rPr>
        <w:t xml:space="preserve"> Bonds</w:t>
      </w:r>
    </w:p>
    <w:p w14:paraId="790847A9" w14:textId="77777777" w:rsidR="001A6A33" w:rsidRPr="001A6A33" w:rsidRDefault="001A6A33" w:rsidP="001A6A33">
      <w:pPr>
        <w:ind w:firstLine="360"/>
        <w:jc w:val="both"/>
        <w:rPr>
          <w:rFonts w:ascii="Arial" w:hAnsi="Arial" w:cs="Arial"/>
          <w:szCs w:val="24"/>
        </w:rPr>
      </w:pPr>
      <w:r w:rsidRPr="001A6A33">
        <w:rPr>
          <w:rFonts w:ascii="Arial" w:hAnsi="Arial" w:cs="Arial"/>
          <w:szCs w:val="24"/>
        </w:rPr>
        <w:t>(REV) - Revenue Bonds</w:t>
      </w:r>
    </w:p>
    <w:p w14:paraId="4DB20725" w14:textId="77777777" w:rsidR="001A6A33" w:rsidRPr="001A6A33" w:rsidRDefault="001A6A33" w:rsidP="001A6A33">
      <w:pPr>
        <w:ind w:firstLine="360"/>
        <w:jc w:val="both"/>
        <w:rPr>
          <w:rFonts w:ascii="Arial" w:hAnsi="Arial" w:cs="Arial"/>
          <w:szCs w:val="24"/>
        </w:rPr>
      </w:pPr>
    </w:p>
    <w:p w14:paraId="41C8EDE2" w14:textId="77777777" w:rsidR="001A6A33" w:rsidRPr="001A6A33" w:rsidRDefault="001A6A33" w:rsidP="001A6A33">
      <w:pPr>
        <w:ind w:firstLine="360"/>
        <w:jc w:val="both"/>
        <w:rPr>
          <w:rFonts w:ascii="Arial" w:hAnsi="Arial" w:cs="Arial"/>
          <w:b/>
          <w:bCs/>
          <w:i/>
          <w:iCs/>
          <w:szCs w:val="24"/>
        </w:rPr>
      </w:pPr>
      <w:r w:rsidRPr="001A6A33">
        <w:rPr>
          <w:rFonts w:ascii="Arial" w:hAnsi="Arial" w:cs="Arial"/>
          <w:b/>
          <w:bCs/>
          <w:i/>
          <w:iCs/>
          <w:szCs w:val="24"/>
        </w:rPr>
        <w:t>No new issues</w:t>
      </w:r>
    </w:p>
    <w:p w14:paraId="35DD557B" w14:textId="77777777" w:rsidR="001A6A33" w:rsidRPr="001A6A33" w:rsidRDefault="001A6A33" w:rsidP="001A6A33">
      <w:pPr>
        <w:jc w:val="center"/>
        <w:rPr>
          <w:rFonts w:ascii="Arial" w:hAnsi="Arial" w:cs="Arial"/>
          <w:szCs w:val="24"/>
        </w:rPr>
      </w:pPr>
    </w:p>
    <w:sectPr w:rsidR="001A6A33" w:rsidRPr="001A6A33" w:rsidSect="001A6A33">
      <w:headerReference w:type="default" r:id="rId22"/>
      <w:footerReference w:type="default" r:id="rId23"/>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649E2" w14:textId="77777777" w:rsidR="008E3731" w:rsidRDefault="008E3731">
      <w:pPr>
        <w:spacing w:line="20" w:lineRule="exact"/>
      </w:pPr>
    </w:p>
  </w:endnote>
  <w:endnote w:type="continuationSeparator" w:id="0">
    <w:p w14:paraId="6BB02318" w14:textId="77777777" w:rsidR="008E3731" w:rsidRDefault="008E3731">
      <w:r>
        <w:t xml:space="preserve"> </w:t>
      </w:r>
    </w:p>
  </w:endnote>
  <w:endnote w:type="continuationNotice" w:id="1">
    <w:p w14:paraId="1A65A86F" w14:textId="77777777" w:rsidR="008E3731" w:rsidRDefault="008E373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Schoolbook">
    <w:altName w:val="Cambria"/>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04D14" w14:textId="77777777" w:rsidR="00BE3EE1" w:rsidRDefault="00BE3E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D79DBD8" w14:textId="77777777" w:rsidR="00BE3EE1" w:rsidRDefault="00BE3E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DDCB9" w14:textId="77777777" w:rsidR="001A6A33" w:rsidRDefault="001A6A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E68F2" w14:textId="2AC9C2E5" w:rsidR="001A6A33" w:rsidRPr="00BA42F4" w:rsidRDefault="001A6A33">
    <w:pPr>
      <w:pStyle w:val="Footer"/>
      <w:jc w:val="center"/>
      <w:rPr>
        <w:rFonts w:ascii="Arial" w:hAnsi="Arial" w:cs="Arial"/>
        <w:szCs w:val="24"/>
      </w:rPr>
    </w:pPr>
    <w:r w:rsidRPr="00BA42F4">
      <w:rPr>
        <w:rFonts w:ascii="Arial" w:hAnsi="Arial" w:cs="Arial"/>
        <w:szCs w:val="24"/>
      </w:rPr>
      <w:fldChar w:fldCharType="begin"/>
    </w:r>
    <w:r w:rsidRPr="00BA42F4">
      <w:rPr>
        <w:rFonts w:ascii="Arial" w:hAnsi="Arial" w:cs="Arial"/>
        <w:szCs w:val="24"/>
      </w:rPr>
      <w:instrText xml:space="preserve"> PAGE </w:instrText>
    </w:r>
    <w:r w:rsidRPr="00BA42F4">
      <w:rPr>
        <w:rFonts w:ascii="Arial" w:hAnsi="Arial" w:cs="Arial"/>
        <w:szCs w:val="24"/>
      </w:rPr>
      <w:fldChar w:fldCharType="separate"/>
    </w:r>
    <w:r w:rsidRPr="00BA42F4">
      <w:rPr>
        <w:rFonts w:ascii="Arial" w:hAnsi="Arial" w:cs="Arial"/>
        <w:noProof/>
        <w:szCs w:val="24"/>
      </w:rPr>
      <w:t>2</w:t>
    </w:r>
    <w:r w:rsidRPr="00BA42F4">
      <w:rPr>
        <w:rFonts w:ascii="Arial" w:hAnsi="Arial" w:cs="Arial"/>
        <w:szCs w:val="24"/>
      </w:rPr>
      <w:fldChar w:fldCharType="end"/>
    </w:r>
    <w:r w:rsidRPr="00BA42F4">
      <w:rPr>
        <w:rFonts w:ascii="Arial" w:hAnsi="Arial" w:cs="Arial"/>
        <w:szCs w:val="24"/>
      </w:rPr>
      <w:t xml:space="preserve"> of </w:t>
    </w:r>
    <w:r>
      <w:rPr>
        <w:rFonts w:ascii="Arial" w:hAnsi="Arial" w:cs="Arial"/>
        <w:szCs w:val="24"/>
      </w:rPr>
      <w:t>3</w:t>
    </w:r>
  </w:p>
  <w:p w14:paraId="171CFEDB" w14:textId="77777777" w:rsidR="001A6A33" w:rsidRDefault="001A6A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EAD36" w14:textId="77777777" w:rsidR="001A6A33" w:rsidRPr="00FE7B37" w:rsidRDefault="001A6A33" w:rsidP="00B31AE2">
    <w:pPr>
      <w:pStyle w:val="NormalWeb"/>
      <w:shd w:val="clear" w:color="auto" w:fill="FFFFFF"/>
      <w:spacing w:before="0" w:beforeAutospacing="0" w:after="0" w:afterAutospacing="0"/>
      <w:jc w:val="center"/>
      <w:rPr>
        <w:rFonts w:ascii="Verdana" w:hAnsi="Verdana"/>
        <w:color w:val="333333"/>
        <w:spacing w:val="2"/>
        <w:sz w:val="20"/>
        <w:szCs w:val="20"/>
      </w:rPr>
    </w:pPr>
    <w:r>
      <w:rPr>
        <w:rFonts w:ascii="Verdana" w:hAnsi="Verdana"/>
        <w:color w:val="333333"/>
        <w:spacing w:val="2"/>
        <w:sz w:val="20"/>
        <w:szCs w:val="20"/>
      </w:rPr>
      <w:t>700 H Street, Suite 3560</w:t>
    </w:r>
  </w:p>
  <w:p w14:paraId="4247C224" w14:textId="77777777" w:rsidR="001A6A33" w:rsidRPr="00FE7B37" w:rsidRDefault="001A6A33" w:rsidP="00B31AE2">
    <w:pPr>
      <w:pStyle w:val="NormalWeb"/>
      <w:shd w:val="clear" w:color="auto" w:fill="FFFFFF"/>
      <w:spacing w:before="0" w:beforeAutospacing="0" w:after="0" w:afterAutospacing="0"/>
      <w:jc w:val="center"/>
      <w:rPr>
        <w:rFonts w:ascii="Verdana" w:hAnsi="Verdana"/>
        <w:color w:val="333333"/>
        <w:spacing w:val="2"/>
        <w:sz w:val="20"/>
        <w:szCs w:val="20"/>
      </w:rPr>
    </w:pPr>
    <w:r>
      <w:rPr>
        <w:rFonts w:ascii="Verdana" w:hAnsi="Verdana"/>
        <w:color w:val="333333"/>
        <w:spacing w:val="2"/>
        <w:sz w:val="20"/>
        <w:szCs w:val="20"/>
      </w:rPr>
      <w:t>Sacramento, CA 95814</w:t>
    </w:r>
    <w:r w:rsidRPr="00FE7B37">
      <w:rPr>
        <w:rFonts w:ascii="Verdana" w:eastAsia="Batang" w:hAnsi="Verdana"/>
        <w:spacing w:val="-2"/>
        <w:sz w:val="20"/>
        <w:szCs w:val="20"/>
      </w:rPr>
      <w:t xml:space="preserve"> | </w:t>
    </w:r>
    <w:hyperlink r:id="rId1" w:history="1">
      <w:r w:rsidRPr="00FE7B37">
        <w:rPr>
          <w:rStyle w:val="Hyperlink"/>
          <w:rFonts w:ascii="Verdana" w:hAnsi="Verdana"/>
          <w:sz w:val="20"/>
          <w:szCs w:val="20"/>
        </w:rPr>
        <w:t>finance.saccounty.gov</w:t>
      </w:r>
    </w:hyperlink>
  </w:p>
  <w:p w14:paraId="55EFAA88" w14:textId="77777777" w:rsidR="001A6A33" w:rsidRDefault="001A6A33" w:rsidP="00B31AE2">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3FDCF" w14:textId="77777777" w:rsidR="00C623AB" w:rsidRDefault="00C62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2073E" w14:textId="77777777" w:rsidR="008E3731" w:rsidRDefault="008E3731">
      <w:r>
        <w:separator/>
      </w:r>
    </w:p>
  </w:footnote>
  <w:footnote w:type="continuationSeparator" w:id="0">
    <w:p w14:paraId="1E2F10FC" w14:textId="77777777" w:rsidR="008E3731" w:rsidRDefault="008E3731">
      <w:r>
        <w:continuationSeparator/>
      </w:r>
    </w:p>
  </w:footnote>
  <w:footnote w:type="continuationNotice" w:id="1">
    <w:p w14:paraId="5D51B185" w14:textId="77777777" w:rsidR="008E3731" w:rsidRDefault="008E37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F11DD" w14:textId="77777777" w:rsidR="00BE3EE1" w:rsidRDefault="00BE3EE1">
    <w:pPr>
      <w:pStyle w:val="Header"/>
      <w:jc w:val="center"/>
      <w:rPr>
        <w:rFonts w:ascii="Times New Roman" w:hAnsi="Times New Roman"/>
        <w:b/>
      </w:rPr>
    </w:pPr>
    <w:r>
      <w:rPr>
        <w:rFonts w:ascii="Times New Roman" w:hAnsi="Times New Roman"/>
        <w:b/>
      </w:rPr>
      <w:t xml:space="preserve">COUNTY OF </w:t>
    </w:r>
    <w:smartTag w:uri="urn:schemas-microsoft-com:office:smarttags" w:element="PlaceName">
      <w:r>
        <w:rPr>
          <w:rFonts w:ascii="Times New Roman" w:hAnsi="Times New Roman"/>
          <w:b/>
        </w:rPr>
        <w:t>SACRAMENTO</w:t>
      </w:r>
    </w:smartTag>
  </w:p>
  <w:p w14:paraId="4ABD05A7" w14:textId="77777777" w:rsidR="00BE3EE1" w:rsidRDefault="00BE3EE1">
    <w:pPr>
      <w:pStyle w:val="Header"/>
      <w:jc w:val="center"/>
      <w:rPr>
        <w:rFonts w:ascii="Times New Roman" w:hAnsi="Times New Roman"/>
        <w:b/>
      </w:rPr>
    </w:pPr>
    <w:r>
      <w:rPr>
        <w:rFonts w:ascii="Times New Roman" w:hAnsi="Times New Roman"/>
        <w:b/>
      </w:rPr>
      <w:t>TREASURY OVERSIGHT COMMITTEE</w:t>
    </w:r>
  </w:p>
  <w:p w14:paraId="508EC49D" w14:textId="77777777" w:rsidR="00BE3EE1" w:rsidRDefault="00BE3EE1">
    <w:pPr>
      <w:pStyle w:val="Header"/>
      <w:jc w:val="center"/>
      <w:rPr>
        <w:rFonts w:ascii="Times New Roman" w:hAnsi="Times New Roman"/>
        <w:b/>
      </w:rPr>
    </w:pPr>
    <w:r>
      <w:rPr>
        <w:rFonts w:ascii="Times New Roman" w:hAnsi="Times New Roman"/>
        <w:b/>
      </w:rPr>
      <w:t>NON-POOLED INVESTMENTS</w:t>
    </w:r>
  </w:p>
  <w:p w14:paraId="101998EC" w14:textId="77777777" w:rsidR="00BE3EE1" w:rsidRDefault="00BE3EE1">
    <w:pPr>
      <w:pStyle w:val="Header"/>
      <w:jc w:val="center"/>
      <w:rPr>
        <w:rFonts w:ascii="Times New Roman" w:hAnsi="Times New Roman"/>
        <w:b/>
      </w:rPr>
    </w:pPr>
    <w:r>
      <w:rPr>
        <w:rFonts w:ascii="Times New Roman" w:hAnsi="Times New Roman"/>
        <w:b/>
      </w:rPr>
      <w:t>AGREED-UPON PROCEDURES REPORT</w:t>
    </w:r>
  </w:p>
  <w:p w14:paraId="410C6010" w14:textId="77777777" w:rsidR="00BE3EE1" w:rsidRDefault="00BE3EE1">
    <w:pPr>
      <w:pStyle w:val="Header"/>
      <w:jc w:val="center"/>
      <w:rPr>
        <w:rFonts w:ascii="Times New Roman" w:hAnsi="Times New Roman"/>
        <w:b/>
      </w:rPr>
    </w:pPr>
    <w:r>
      <w:rPr>
        <w:rFonts w:ascii="Times New Roman" w:hAnsi="Times New Roman"/>
        <w:b/>
      </w:rPr>
      <w:t>FOR THE QUARTER ENDED SEPTEMBER 30, 1998</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ACFF7" w14:textId="77777777" w:rsidR="001A6A33" w:rsidRPr="001A6A33" w:rsidRDefault="001A6A33" w:rsidP="00173B9D">
    <w:pPr>
      <w:pStyle w:val="Header"/>
      <w:jc w:val="right"/>
      <w:rPr>
        <w:rFonts w:ascii="Arial" w:hAnsi="Arial" w:cs="Arial"/>
      </w:rPr>
    </w:pPr>
    <w:r w:rsidRPr="001A6A33">
      <w:rPr>
        <w:rFonts w:ascii="Arial" w:hAnsi="Arial" w:cs="Arial"/>
      </w:rPr>
      <w:t>ATT1</w:t>
    </w:r>
  </w:p>
  <w:p w14:paraId="3AE920E8" w14:textId="77777777" w:rsidR="001A6A33" w:rsidRPr="001A6A33" w:rsidRDefault="001A6A33" w:rsidP="00B846EB">
    <w:pPr>
      <w:pStyle w:val="Header"/>
      <w:jc w:val="center"/>
      <w:rPr>
        <w:rFonts w:ascii="Arial" w:hAnsi="Arial" w:cs="Arial"/>
      </w:rPr>
    </w:pPr>
    <w:r w:rsidRPr="001A6A33">
      <w:rPr>
        <w:rFonts w:ascii="Arial" w:hAnsi="Arial" w:cs="Arial"/>
      </w:rPr>
      <w:t>COUNTY OF SACRAMENTO</w:t>
    </w:r>
  </w:p>
  <w:p w14:paraId="1CA02685" w14:textId="77777777" w:rsidR="001A6A33" w:rsidRPr="001A6A33" w:rsidRDefault="001A6A33" w:rsidP="00B846EB">
    <w:pPr>
      <w:pStyle w:val="Header"/>
      <w:jc w:val="center"/>
      <w:rPr>
        <w:rFonts w:ascii="Arial" w:hAnsi="Arial" w:cs="Arial"/>
      </w:rPr>
    </w:pPr>
    <w:r w:rsidRPr="001A6A33">
      <w:rPr>
        <w:rFonts w:ascii="Arial" w:hAnsi="Arial" w:cs="Arial"/>
      </w:rPr>
      <w:t>TREASURY OVERSIGHT COMMITTEE</w:t>
    </w:r>
  </w:p>
  <w:p w14:paraId="46F285AC" w14:textId="77777777" w:rsidR="001A6A33" w:rsidRPr="001A6A33" w:rsidRDefault="001A6A33" w:rsidP="00B846EB">
    <w:pPr>
      <w:pStyle w:val="Header"/>
      <w:jc w:val="center"/>
      <w:rPr>
        <w:rFonts w:ascii="Arial" w:hAnsi="Arial" w:cs="Arial"/>
      </w:rPr>
    </w:pPr>
    <w:r w:rsidRPr="001A6A33">
      <w:rPr>
        <w:rFonts w:ascii="Arial" w:hAnsi="Arial" w:cs="Arial"/>
      </w:rPr>
      <w:t>NON-POOLED INVESTMENTS</w:t>
    </w:r>
  </w:p>
  <w:p w14:paraId="60FEEAA7" w14:textId="77777777" w:rsidR="001A6A33" w:rsidRPr="001A6A33" w:rsidRDefault="001A6A33" w:rsidP="00B846EB">
    <w:pPr>
      <w:pStyle w:val="Header"/>
      <w:jc w:val="center"/>
      <w:rPr>
        <w:rFonts w:ascii="Arial" w:hAnsi="Arial" w:cs="Arial"/>
      </w:rPr>
    </w:pPr>
    <w:r w:rsidRPr="001A6A33">
      <w:rPr>
        <w:rFonts w:ascii="Arial" w:hAnsi="Arial" w:cs="Arial"/>
      </w:rPr>
      <w:t>SCHEDULE OF SAMPLE NON-POOLED INVESTMENTS</w:t>
    </w:r>
  </w:p>
  <w:p w14:paraId="2E7CFA56" w14:textId="77777777" w:rsidR="001A6A33" w:rsidRPr="001A6A33" w:rsidRDefault="001A6A33" w:rsidP="00B846EB">
    <w:pPr>
      <w:pStyle w:val="Header"/>
      <w:jc w:val="center"/>
      <w:rPr>
        <w:rFonts w:ascii="Arial" w:hAnsi="Arial" w:cs="Arial"/>
      </w:rPr>
    </w:pPr>
    <w:r w:rsidRPr="001A6A33">
      <w:rPr>
        <w:rFonts w:ascii="Arial" w:hAnsi="Arial" w:cs="Arial"/>
      </w:rPr>
      <w:t>FOR THE QUARTER ENDED MARCH 31, 2026</w:t>
    </w:r>
  </w:p>
  <w:p w14:paraId="0B9C7DC7" w14:textId="77777777" w:rsidR="001A6A33" w:rsidRPr="001A6A33" w:rsidRDefault="001A6A33" w:rsidP="00B846EB">
    <w:pPr>
      <w:pStyle w:val="Header"/>
      <w:jc w:val="cent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16553" w14:textId="77777777" w:rsidR="00FD7D58" w:rsidRDefault="00FD7D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914A2" w14:textId="77777777" w:rsidR="00BE3EE1" w:rsidRPr="00FF4ADD" w:rsidRDefault="00BE3EE1">
    <w:pPr>
      <w:jc w:val="center"/>
      <w:rPr>
        <w:rFonts w:ascii="Arial" w:hAnsi="Arial" w:cs="Arial"/>
        <w:b/>
      </w:rPr>
    </w:pPr>
    <w:r w:rsidRPr="00FF4ADD">
      <w:rPr>
        <w:rFonts w:ascii="Arial" w:hAnsi="Arial" w:cs="Arial"/>
        <w:b/>
      </w:rPr>
      <w:t xml:space="preserve">COUNTY OF </w:t>
    </w:r>
    <w:smartTag w:uri="urn:schemas-microsoft-com:office:smarttags" w:element="PlaceName">
      <w:r w:rsidRPr="00FF4ADD">
        <w:rPr>
          <w:rFonts w:ascii="Arial" w:hAnsi="Arial" w:cs="Arial"/>
          <w:b/>
        </w:rPr>
        <w:t>SACRAMENTO</w:t>
      </w:r>
    </w:smartTag>
  </w:p>
  <w:p w14:paraId="2CA956AE" w14:textId="77777777" w:rsidR="00BE3EE1" w:rsidRPr="00FF4ADD" w:rsidRDefault="00BE3EE1">
    <w:pPr>
      <w:jc w:val="center"/>
      <w:rPr>
        <w:rFonts w:ascii="Arial" w:hAnsi="Arial" w:cs="Arial"/>
        <w:b/>
      </w:rPr>
    </w:pPr>
    <w:r w:rsidRPr="00FF4ADD">
      <w:rPr>
        <w:rFonts w:ascii="Arial" w:hAnsi="Arial" w:cs="Arial"/>
        <w:b/>
      </w:rPr>
      <w:t>TREASURY OVERSIGHT COMMITTEE</w:t>
    </w:r>
  </w:p>
  <w:p w14:paraId="776F2427" w14:textId="77777777" w:rsidR="00BE3EE1" w:rsidRPr="00FF4ADD" w:rsidRDefault="00BE3EE1">
    <w:pPr>
      <w:jc w:val="center"/>
      <w:rPr>
        <w:rFonts w:ascii="Arial" w:hAnsi="Arial" w:cs="Arial"/>
        <w:b/>
      </w:rPr>
    </w:pPr>
    <w:r w:rsidRPr="00FF4ADD">
      <w:rPr>
        <w:rFonts w:ascii="Arial" w:hAnsi="Arial" w:cs="Arial"/>
        <w:b/>
      </w:rPr>
      <w:t>NON-POOLED INVESTMENTS</w:t>
    </w:r>
  </w:p>
  <w:p w14:paraId="7DCAEF4A" w14:textId="77777777" w:rsidR="00BE3EE1" w:rsidRPr="00FF4ADD" w:rsidRDefault="00920FE9">
    <w:pPr>
      <w:jc w:val="center"/>
      <w:rPr>
        <w:rFonts w:ascii="Arial" w:hAnsi="Arial" w:cs="Arial"/>
        <w:b/>
      </w:rPr>
    </w:pPr>
    <w:r w:rsidRPr="00FF4ADD">
      <w:rPr>
        <w:rFonts w:ascii="Arial" w:hAnsi="Arial" w:cs="Arial"/>
        <w:b/>
      </w:rPr>
      <w:t>PERFORMANCE AUDIT</w:t>
    </w:r>
    <w:r w:rsidR="00BE3EE1" w:rsidRPr="00FF4ADD">
      <w:rPr>
        <w:rFonts w:ascii="Arial" w:hAnsi="Arial" w:cs="Arial"/>
        <w:b/>
      </w:rPr>
      <w:t xml:space="preserve"> REPORT</w:t>
    </w:r>
  </w:p>
  <w:p w14:paraId="6D4AE54A" w14:textId="3735CEE9" w:rsidR="00BE3EE1" w:rsidRPr="00FF4ADD" w:rsidRDefault="00BE3EE1">
    <w:pPr>
      <w:jc w:val="center"/>
      <w:rPr>
        <w:rFonts w:ascii="Arial" w:hAnsi="Arial" w:cs="Arial"/>
        <w:b/>
      </w:rPr>
    </w:pPr>
    <w:r w:rsidRPr="00FF4ADD">
      <w:rPr>
        <w:rFonts w:ascii="Arial" w:hAnsi="Arial" w:cs="Arial"/>
        <w:b/>
      </w:rPr>
      <w:t xml:space="preserve">FOR </w:t>
    </w:r>
    <w:r w:rsidR="008E5675">
      <w:rPr>
        <w:rFonts w:ascii="Arial" w:hAnsi="Arial" w:cs="Arial"/>
        <w:b/>
      </w:rPr>
      <w:t xml:space="preserve">THE </w:t>
    </w:r>
    <w:r w:rsidRPr="00FF4ADD">
      <w:rPr>
        <w:rFonts w:ascii="Arial" w:hAnsi="Arial" w:cs="Arial"/>
        <w:b/>
      </w:rPr>
      <w:t xml:space="preserve">QUARTER ENDED </w:t>
    </w:r>
    <w:r w:rsidR="005F5339">
      <w:rPr>
        <w:rFonts w:ascii="Arial" w:hAnsi="Arial" w:cs="Arial"/>
        <w:b/>
      </w:rPr>
      <w:t>MARCH</w:t>
    </w:r>
    <w:r w:rsidR="00EC2656">
      <w:rPr>
        <w:rFonts w:ascii="Arial" w:hAnsi="Arial" w:cs="Arial"/>
        <w:b/>
      </w:rPr>
      <w:t xml:space="preserve"> 3</w:t>
    </w:r>
    <w:r w:rsidR="005F5339">
      <w:rPr>
        <w:rFonts w:ascii="Arial" w:hAnsi="Arial" w:cs="Arial"/>
        <w:b/>
      </w:rPr>
      <w:t>1</w:t>
    </w:r>
    <w:r w:rsidR="0057783B">
      <w:rPr>
        <w:rFonts w:ascii="Arial" w:hAnsi="Arial" w:cs="Arial"/>
        <w:b/>
        <w:spacing w:val="-3"/>
      </w:rPr>
      <w:t>, 202</w:t>
    </w:r>
    <w:r w:rsidR="005F5339">
      <w:rPr>
        <w:rFonts w:ascii="Arial" w:hAnsi="Arial" w:cs="Arial"/>
        <w:b/>
        <w:spacing w:val="-3"/>
      </w:rPr>
      <w:t>6</w:t>
    </w:r>
  </w:p>
  <w:p w14:paraId="6D4B2803" w14:textId="77777777" w:rsidR="00BE3EE1" w:rsidRDefault="00BE3EE1">
    <w:pPr>
      <w:jc w:val="center"/>
      <w:rPr>
        <w:rFonts w:ascii="Times New Roman" w:hAnsi="Times New Roman"/>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C3AE4" w14:textId="77777777" w:rsidR="00BE3EE1" w:rsidRDefault="00BE3EE1">
    <w:pPr>
      <w:pStyle w:val="Header"/>
      <w:jc w:val="center"/>
      <w:rPr>
        <w:rFonts w:ascii="Times New Roman" w:hAnsi="Times New Roman"/>
        <w:b/>
      </w:rPr>
    </w:pPr>
    <w:r>
      <w:rPr>
        <w:rFonts w:ascii="Times New Roman" w:hAnsi="Times New Roman"/>
        <w:b/>
      </w:rPr>
      <w:t xml:space="preserve">COUNTY OF </w:t>
    </w:r>
    <w:smartTag w:uri="urn:schemas-microsoft-com:office:smarttags" w:element="PlaceName">
      <w:r>
        <w:rPr>
          <w:rFonts w:ascii="Times New Roman" w:hAnsi="Times New Roman"/>
          <w:b/>
        </w:rPr>
        <w:t>SACRAMENTO</w:t>
      </w:r>
    </w:smartTag>
  </w:p>
  <w:p w14:paraId="25CC0716" w14:textId="77777777" w:rsidR="00BE3EE1" w:rsidRDefault="00BE3EE1">
    <w:pPr>
      <w:pStyle w:val="Header"/>
      <w:jc w:val="center"/>
      <w:rPr>
        <w:rFonts w:ascii="Times New Roman" w:hAnsi="Times New Roman"/>
        <w:b/>
      </w:rPr>
    </w:pPr>
    <w:r>
      <w:rPr>
        <w:rFonts w:ascii="Times New Roman" w:hAnsi="Times New Roman"/>
        <w:b/>
      </w:rPr>
      <w:t>SUMMARY OF INVESTMENT REQUIREMENTS</w:t>
    </w:r>
  </w:p>
  <w:p w14:paraId="1F388AB2" w14:textId="77777777" w:rsidR="00BE3EE1" w:rsidRDefault="00BE3EE1">
    <w:pPr>
      <w:pStyle w:val="Header"/>
      <w:jc w:val="center"/>
      <w:rPr>
        <w:rFonts w:ascii="Times New Roman" w:hAnsi="Times New Roman"/>
        <w:b/>
      </w:rPr>
    </w:pPr>
    <w:r>
      <w:rPr>
        <w:rFonts w:ascii="Times New Roman" w:hAnsi="Times New Roman"/>
        <w:b/>
      </w:rPr>
      <w:t>SCHEDULE I (CONTINUED)</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A60D1" w14:textId="7977C5C3" w:rsidR="001A6A33" w:rsidRDefault="001A6A33">
    <w:pPr>
      <w:pStyle w:val="Header"/>
      <w:tabs>
        <w:tab w:val="clear" w:pos="4320"/>
        <w:tab w:val="clear" w:pos="8640"/>
        <w:tab w:val="right" w:pos="10800"/>
      </w:tabs>
      <w:rPr>
        <w:i/>
        <w:sz w:val="18"/>
        <w:szCs w:val="18"/>
      </w:rPr>
    </w:pPr>
    <w:r>
      <w:rPr>
        <w:i/>
        <w:sz w:val="18"/>
        <w:szCs w:val="18"/>
      </w:rPr>
      <w:t xml:space="preserve">Page </w:t>
    </w:r>
    <w:r>
      <w:rPr>
        <w:rStyle w:val="PageNumber"/>
        <w:i/>
        <w:sz w:val="18"/>
        <w:szCs w:val="18"/>
      </w:rPr>
      <w:fldChar w:fldCharType="begin"/>
    </w:r>
    <w:r>
      <w:rPr>
        <w:rStyle w:val="PageNumber"/>
        <w:i/>
        <w:sz w:val="18"/>
        <w:szCs w:val="18"/>
      </w:rPr>
      <w:instrText xml:space="preserve"> PAGE </w:instrText>
    </w:r>
    <w:r>
      <w:rPr>
        <w:rStyle w:val="PageNumber"/>
        <w:i/>
        <w:sz w:val="18"/>
        <w:szCs w:val="18"/>
      </w:rPr>
      <w:fldChar w:fldCharType="separate"/>
    </w:r>
    <w:r>
      <w:rPr>
        <w:rStyle w:val="PageNumber"/>
        <w:i/>
        <w:noProof/>
        <w:sz w:val="18"/>
        <w:szCs w:val="18"/>
      </w:rPr>
      <w:t>2</w:t>
    </w:r>
    <w:r>
      <w:rPr>
        <w:rStyle w:val="PageNumber"/>
        <w:i/>
        <w:sz w:val="18"/>
        <w:szCs w:val="18"/>
      </w:rPr>
      <w:fldChar w:fldCharType="end"/>
    </w:r>
    <w:r>
      <w:rPr>
        <w:rStyle w:val="PageNumber"/>
        <w:i/>
        <w:sz w:val="18"/>
        <w:szCs w:val="18"/>
      </w:rPr>
      <w:tab/>
    </w:r>
    <w:r>
      <w:rPr>
        <w:rStyle w:val="PageNumber"/>
        <w:i/>
        <w:sz w:val="18"/>
        <w:szCs w:val="18"/>
      </w:rPr>
      <w:fldChar w:fldCharType="begin"/>
    </w:r>
    <w:r>
      <w:rPr>
        <w:rStyle w:val="PageNumber"/>
        <w:i/>
        <w:sz w:val="18"/>
        <w:szCs w:val="18"/>
      </w:rPr>
      <w:instrText xml:space="preserve"> DATE  \@ "MMMM d, yyyy"  \* MERGEFORMAT </w:instrText>
    </w:r>
    <w:r>
      <w:rPr>
        <w:rStyle w:val="PageNumber"/>
        <w:i/>
        <w:sz w:val="18"/>
        <w:szCs w:val="18"/>
      </w:rPr>
      <w:fldChar w:fldCharType="separate"/>
    </w:r>
    <w:r w:rsidR="0051102C">
      <w:rPr>
        <w:rStyle w:val="PageNumber"/>
        <w:i/>
        <w:noProof/>
        <w:sz w:val="18"/>
        <w:szCs w:val="18"/>
      </w:rPr>
      <w:t>May 1, 2026</w:t>
    </w:r>
    <w:r>
      <w:rPr>
        <w:rStyle w:val="PageNumber"/>
        <w:i/>
        <w:sz w:val="18"/>
        <w:szCs w:val="18"/>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44" w:type="dxa"/>
      <w:tblLook w:val="01E0" w:firstRow="1" w:lastRow="1" w:firstColumn="1" w:lastColumn="1" w:noHBand="0" w:noVBand="0"/>
    </w:tblPr>
    <w:tblGrid>
      <w:gridCol w:w="3656"/>
      <w:gridCol w:w="3766"/>
      <w:gridCol w:w="3522"/>
    </w:tblGrid>
    <w:tr w:rsidR="001A6A33" w14:paraId="0C83BE8E" w14:textId="77777777" w:rsidTr="00FD3FAC">
      <w:trPr>
        <w:trHeight w:val="2429"/>
      </w:trPr>
      <w:tc>
        <w:tcPr>
          <w:tcW w:w="3656" w:type="dxa"/>
        </w:tcPr>
        <w:p w14:paraId="4F4DBF86" w14:textId="77777777" w:rsidR="001A6A33" w:rsidRPr="000F0F62" w:rsidRDefault="001A6A33" w:rsidP="006F3FA6">
          <w:pPr>
            <w:pStyle w:val="Header-Title"/>
            <w:rPr>
              <w:rFonts w:ascii="Verdana" w:hAnsi="Verdana"/>
            </w:rPr>
          </w:pPr>
          <w:r>
            <w:rPr>
              <w:rFonts w:ascii="Verdana" w:hAnsi="Verdana"/>
            </w:rPr>
            <w:t>Department of Finance</w:t>
          </w:r>
        </w:p>
        <w:p w14:paraId="74B94813" w14:textId="77777777" w:rsidR="001A6A33" w:rsidRDefault="001A6A33" w:rsidP="00B31D25">
          <w:pPr>
            <w:pStyle w:val="Header-Name"/>
            <w:spacing w:before="40"/>
            <w:rPr>
              <w:rFonts w:ascii="Verdana" w:hAnsi="Verdana"/>
              <w:sz w:val="20"/>
              <w:szCs w:val="20"/>
            </w:rPr>
          </w:pPr>
          <w:r>
            <w:rPr>
              <w:rFonts w:ascii="Verdana" w:hAnsi="Verdana"/>
              <w:sz w:val="20"/>
              <w:szCs w:val="20"/>
            </w:rPr>
            <w:t>Chad Rinde</w:t>
          </w:r>
        </w:p>
        <w:p w14:paraId="030EFD4A" w14:textId="77777777" w:rsidR="001A6A33" w:rsidRPr="00B31D25" w:rsidRDefault="001A6A33" w:rsidP="00B31D25">
          <w:pPr>
            <w:pStyle w:val="Header-Name"/>
            <w:spacing w:before="40"/>
            <w:rPr>
              <w:rFonts w:ascii="Verdana" w:hAnsi="Verdana"/>
              <w:sz w:val="20"/>
              <w:szCs w:val="20"/>
            </w:rPr>
          </w:pPr>
          <w:r>
            <w:rPr>
              <w:rFonts w:ascii="Verdana" w:hAnsi="Verdana"/>
              <w:sz w:val="20"/>
              <w:szCs w:val="20"/>
            </w:rPr>
            <w:t>Director</w:t>
          </w:r>
        </w:p>
      </w:tc>
      <w:tc>
        <w:tcPr>
          <w:tcW w:w="3766" w:type="dxa"/>
          <w:tcMar>
            <w:left w:w="115" w:type="dxa"/>
            <w:right w:w="115" w:type="dxa"/>
          </w:tcMar>
          <w:vAlign w:val="bottom"/>
        </w:tcPr>
        <w:p w14:paraId="7117A113" w14:textId="77777777" w:rsidR="001A6A33" w:rsidRPr="004F3B00" w:rsidRDefault="001A6A33" w:rsidP="004F3B00">
          <w:pPr>
            <w:pStyle w:val="Header"/>
            <w:spacing w:before="40"/>
            <w:jc w:val="center"/>
            <w:rPr>
              <w:b/>
              <w:sz w:val="28"/>
              <w:szCs w:val="28"/>
            </w:rPr>
          </w:pPr>
        </w:p>
        <w:p w14:paraId="328B41A7" w14:textId="77777777" w:rsidR="001A6A33" w:rsidRPr="004F3B00" w:rsidRDefault="001A6A33" w:rsidP="004F3B00">
          <w:pPr>
            <w:pStyle w:val="Header"/>
            <w:spacing w:before="40"/>
            <w:jc w:val="center"/>
            <w:rPr>
              <w:b/>
              <w:sz w:val="28"/>
              <w:szCs w:val="28"/>
            </w:rPr>
          </w:pPr>
        </w:p>
        <w:p w14:paraId="236275DE" w14:textId="77777777" w:rsidR="001A6A33" w:rsidRPr="004F3B00" w:rsidRDefault="001A6A33" w:rsidP="004F3B00">
          <w:pPr>
            <w:pStyle w:val="Header"/>
            <w:spacing w:before="40"/>
            <w:jc w:val="center"/>
            <w:rPr>
              <w:b/>
              <w:sz w:val="28"/>
              <w:szCs w:val="28"/>
            </w:rPr>
          </w:pPr>
        </w:p>
        <w:p w14:paraId="13508318" w14:textId="77777777" w:rsidR="001A6A33" w:rsidRPr="00AF7F27" w:rsidRDefault="001A6A33" w:rsidP="00AF7F27">
          <w:pPr>
            <w:pStyle w:val="COS"/>
            <w:spacing w:before="120"/>
            <w:rPr>
              <w:rFonts w:ascii="Verdana" w:hAnsi="Verdana"/>
              <w:sz w:val="26"/>
              <w:szCs w:val="26"/>
            </w:rPr>
          </w:pPr>
          <w:r w:rsidRPr="00AF7F27">
            <w:rPr>
              <w:rFonts w:ascii="Verdana" w:hAnsi="Verdana"/>
              <w:sz w:val="26"/>
              <w:szCs w:val="26"/>
            </w:rPr>
            <w:t>County of Sacramento</w:t>
          </w:r>
        </w:p>
      </w:tc>
      <w:tc>
        <w:tcPr>
          <w:tcW w:w="3522" w:type="dxa"/>
        </w:tcPr>
        <w:p w14:paraId="12C1E119" w14:textId="77777777" w:rsidR="001A6A33" w:rsidRPr="000F0F62" w:rsidRDefault="001A6A33" w:rsidP="006F3FA6">
          <w:pPr>
            <w:pStyle w:val="Header-Title-Right"/>
            <w:spacing w:before="40"/>
            <w:rPr>
              <w:rFonts w:ascii="Verdana" w:hAnsi="Verdana"/>
              <w:sz w:val="20"/>
              <w:szCs w:val="20"/>
            </w:rPr>
          </w:pPr>
          <w:r>
            <w:rPr>
              <w:rFonts w:ascii="Verdana" w:hAnsi="Verdana"/>
              <w:sz w:val="20"/>
              <w:szCs w:val="20"/>
            </w:rPr>
            <w:t>Divisions</w:t>
          </w:r>
        </w:p>
        <w:p w14:paraId="32E54A75" w14:textId="77777777" w:rsidR="001A6A33" w:rsidRDefault="001A6A33" w:rsidP="00AF7F27">
          <w:pPr>
            <w:pStyle w:val="Header-Name-Right"/>
            <w:rPr>
              <w:rFonts w:ascii="Verdana" w:hAnsi="Verdana"/>
              <w:sz w:val="20"/>
              <w:szCs w:val="20"/>
            </w:rPr>
          </w:pPr>
          <w:r>
            <w:rPr>
              <w:rFonts w:ascii="Verdana" w:hAnsi="Verdana"/>
              <w:sz w:val="20"/>
              <w:szCs w:val="20"/>
            </w:rPr>
            <w:t>Auditor-Controller</w:t>
          </w:r>
        </w:p>
        <w:p w14:paraId="21664432" w14:textId="77777777" w:rsidR="001A6A33" w:rsidRDefault="001A6A33" w:rsidP="00AC7840">
          <w:pPr>
            <w:pStyle w:val="Header-Name-Right"/>
            <w:rPr>
              <w:rFonts w:ascii="Verdana" w:hAnsi="Verdana"/>
              <w:sz w:val="20"/>
              <w:szCs w:val="20"/>
            </w:rPr>
          </w:pPr>
          <w:r>
            <w:rPr>
              <w:rFonts w:ascii="Verdana" w:hAnsi="Verdana"/>
              <w:sz w:val="20"/>
              <w:szCs w:val="20"/>
            </w:rPr>
            <w:t>Consolidated Utilities Billing &amp; Service</w:t>
          </w:r>
        </w:p>
        <w:p w14:paraId="6B52F5E6" w14:textId="77777777" w:rsidR="001A6A33" w:rsidRDefault="001A6A33" w:rsidP="00AF7F27">
          <w:pPr>
            <w:pStyle w:val="Header-Name-Right"/>
            <w:rPr>
              <w:rFonts w:ascii="Verdana" w:hAnsi="Verdana"/>
              <w:sz w:val="20"/>
              <w:szCs w:val="20"/>
            </w:rPr>
          </w:pPr>
          <w:r w:rsidRPr="00787A29">
            <w:rPr>
              <w:rFonts w:ascii="Verdana" w:hAnsi="Verdana"/>
              <w:sz w:val="20"/>
              <w:szCs w:val="20"/>
            </w:rPr>
            <w:t>Investments</w:t>
          </w:r>
        </w:p>
        <w:p w14:paraId="68B05A2F" w14:textId="77777777" w:rsidR="001A6A33" w:rsidRPr="00787A29" w:rsidRDefault="001A6A33" w:rsidP="00AF7F27">
          <w:pPr>
            <w:pStyle w:val="Header-Name-Right"/>
            <w:rPr>
              <w:rFonts w:ascii="Verdana" w:hAnsi="Verdana"/>
              <w:sz w:val="20"/>
              <w:szCs w:val="20"/>
            </w:rPr>
          </w:pPr>
          <w:r>
            <w:rPr>
              <w:rFonts w:ascii="Verdana" w:hAnsi="Verdana"/>
              <w:sz w:val="20"/>
              <w:szCs w:val="20"/>
            </w:rPr>
            <w:t>Revenue Recovery</w:t>
          </w:r>
          <w:r w:rsidRPr="00787A29">
            <w:rPr>
              <w:rFonts w:ascii="Verdana" w:hAnsi="Verdana"/>
              <w:sz w:val="20"/>
              <w:szCs w:val="20"/>
            </w:rPr>
            <w:t xml:space="preserve"> </w:t>
          </w:r>
        </w:p>
        <w:p w14:paraId="5080B0FD" w14:textId="77777777" w:rsidR="001A6A33" w:rsidRPr="00787A29" w:rsidRDefault="001A6A33" w:rsidP="00B63BB8">
          <w:pPr>
            <w:pStyle w:val="Header-Name-Right"/>
            <w:rPr>
              <w:rFonts w:ascii="Verdana" w:hAnsi="Verdana"/>
              <w:sz w:val="20"/>
              <w:szCs w:val="20"/>
            </w:rPr>
          </w:pPr>
          <w:r>
            <w:rPr>
              <w:rFonts w:ascii="Verdana" w:hAnsi="Verdana"/>
              <w:sz w:val="20"/>
              <w:szCs w:val="20"/>
            </w:rPr>
            <w:t xml:space="preserve">Tax Collection &amp; </w:t>
          </w:r>
          <w:r w:rsidRPr="00787A29">
            <w:rPr>
              <w:rFonts w:ascii="Verdana" w:hAnsi="Verdana"/>
              <w:sz w:val="20"/>
              <w:szCs w:val="20"/>
            </w:rPr>
            <w:t>Licensing</w:t>
          </w:r>
        </w:p>
        <w:p w14:paraId="7412B3AC" w14:textId="77777777" w:rsidR="001A6A33" w:rsidRDefault="001A6A33" w:rsidP="00AF7F27">
          <w:pPr>
            <w:pStyle w:val="Header-Name-Right"/>
          </w:pPr>
          <w:r w:rsidRPr="00787A29">
            <w:rPr>
              <w:rFonts w:ascii="Verdana" w:hAnsi="Verdana"/>
              <w:sz w:val="20"/>
              <w:szCs w:val="20"/>
            </w:rPr>
            <w:t>Treasury</w:t>
          </w:r>
        </w:p>
      </w:tc>
    </w:tr>
  </w:tbl>
  <w:p w14:paraId="353204CF" w14:textId="77777777" w:rsidR="001A6A33" w:rsidRDefault="001A6A33">
    <w:pPr>
      <w:rPr>
        <w:sz w:val="16"/>
        <w:szCs w:val="16"/>
      </w:rPr>
    </w:pPr>
    <w:r>
      <w:rPr>
        <w:noProof/>
      </w:rPr>
      <w:drawing>
        <wp:anchor distT="0" distB="0" distL="114300" distR="114300" simplePos="0" relativeHeight="251659264" behindDoc="0" locked="0" layoutInCell="1" allowOverlap="1" wp14:anchorId="2990E0F9" wp14:editId="36136B0D">
          <wp:simplePos x="0" y="0"/>
          <wp:positionH relativeFrom="column">
            <wp:posOffset>2830195</wp:posOffset>
          </wp:positionH>
          <wp:positionV relativeFrom="page">
            <wp:posOffset>228600</wp:posOffset>
          </wp:positionV>
          <wp:extent cx="1143000" cy="11430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7D161" w14:textId="77777777" w:rsidR="001A6A33" w:rsidRDefault="001A6A3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47A09" w14:textId="77777777" w:rsidR="00855F4F" w:rsidRPr="006E4EC2" w:rsidRDefault="00855F4F" w:rsidP="00855F4F">
    <w:pPr>
      <w:pStyle w:val="Header"/>
      <w:ind w:left="720" w:hanging="720"/>
      <w:contextualSpacing/>
      <w:rPr>
        <w:rFonts w:ascii="Arial" w:hAnsi="Arial" w:cs="Arial"/>
        <w:spacing w:val="-3"/>
      </w:rPr>
    </w:pPr>
    <w:r w:rsidRPr="006E4EC2">
      <w:rPr>
        <w:rFonts w:ascii="Arial" w:hAnsi="Arial" w:cs="Arial"/>
        <w:spacing w:val="-3"/>
      </w:rPr>
      <w:t>The Honorable Board of Supervisors and</w:t>
    </w:r>
  </w:p>
  <w:p w14:paraId="27EA7454" w14:textId="77777777" w:rsidR="00855F4F" w:rsidRDefault="00855F4F" w:rsidP="00855F4F">
    <w:pPr>
      <w:pStyle w:val="Header"/>
      <w:ind w:left="720" w:hanging="720"/>
      <w:contextualSpacing/>
      <w:rPr>
        <w:rFonts w:ascii="Arial" w:hAnsi="Arial" w:cs="Arial"/>
        <w:spacing w:val="-3"/>
      </w:rPr>
    </w:pPr>
    <w:r>
      <w:rPr>
        <w:rFonts w:ascii="Arial" w:hAnsi="Arial" w:cs="Arial"/>
        <w:spacing w:val="-3"/>
      </w:rPr>
      <w:t xml:space="preserve">The </w:t>
    </w:r>
    <w:r w:rsidRPr="006E4EC2">
      <w:rPr>
        <w:rFonts w:ascii="Arial" w:hAnsi="Arial" w:cs="Arial"/>
        <w:spacing w:val="-3"/>
      </w:rPr>
      <w:t>Sacramento County Treasury Oversight Committee</w:t>
    </w:r>
  </w:p>
  <w:p w14:paraId="687D71D0" w14:textId="77777777" w:rsidR="00855F4F" w:rsidRDefault="00855F4F" w:rsidP="00855F4F">
    <w:pPr>
      <w:pStyle w:val="Header"/>
      <w:ind w:left="720" w:hanging="720"/>
      <w:contextualSpacing/>
      <w:rPr>
        <w:rFonts w:ascii="Arial" w:hAnsi="Arial" w:cs="Arial"/>
      </w:rPr>
    </w:pPr>
    <w:r>
      <w:rPr>
        <w:rFonts w:ascii="Arial" w:hAnsi="Arial" w:cs="Arial"/>
      </w:rPr>
      <w:t>May 1</w:t>
    </w:r>
    <w:r w:rsidRPr="00667087">
      <w:rPr>
        <w:rFonts w:ascii="Arial" w:hAnsi="Arial" w:cs="Arial"/>
      </w:rPr>
      <w:t>, 202</w:t>
    </w:r>
    <w:r>
      <w:rPr>
        <w:rFonts w:ascii="Arial" w:hAnsi="Arial" w:cs="Arial"/>
      </w:rPr>
      <w:t>6</w:t>
    </w:r>
  </w:p>
  <w:p w14:paraId="2D692C73" w14:textId="77777777" w:rsidR="001A6A33" w:rsidRPr="00377B8C" w:rsidRDefault="001A6A33" w:rsidP="00377B8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6CC26" w14:textId="77777777" w:rsidR="001A6A33" w:rsidRDefault="001A6A33">
    <w:pPr>
      <w:pStyle w:val="Header"/>
    </w:pPr>
    <w:r>
      <w:t>[Type here]</w:t>
    </w:r>
  </w:p>
  <w:p w14:paraId="0A82730C" w14:textId="77777777" w:rsidR="001A6A33" w:rsidRDefault="001A6A33">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E5C15"/>
    <w:multiLevelType w:val="hybridMultilevel"/>
    <w:tmpl w:val="7D8C0AB2"/>
    <w:lvl w:ilvl="0" w:tplc="88D03082">
      <w:start w:val="1"/>
      <w:numFmt w:val="decimal"/>
      <w:lvlText w:val="(%1)"/>
      <w:lvlJc w:val="left"/>
      <w:pPr>
        <w:ind w:left="720" w:hanging="360"/>
      </w:pPr>
      <w:rPr>
        <w:rFonts w:hint="default"/>
        <w:i w:val="0"/>
        <w:sz w:val="24"/>
        <w:szCs w:val="24"/>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694F5D"/>
    <w:multiLevelType w:val="hybridMultilevel"/>
    <w:tmpl w:val="86ACF9AE"/>
    <w:lvl w:ilvl="0" w:tplc="839EA84E">
      <w:numFmt w:val="bullet"/>
      <w:lvlText w:val="-"/>
      <w:lvlJc w:val="left"/>
      <w:pPr>
        <w:ind w:left="72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3088971">
    <w:abstractNumId w:val="1"/>
  </w:num>
  <w:num w:numId="2" w16cid:durableId="1366712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4SXcANEz3Q+myHVx6pu0hA1vdmcVBo8RIYQPU6V+XO9E+tThZIJxfZEPMDZntwL8NNkige+LANvHBJpwSsUiQ==" w:salt="MrdwqJPAYXcJcx2AJqewCQ=="/>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CFD"/>
    <w:rsid w:val="00000F7F"/>
    <w:rsid w:val="00023CD5"/>
    <w:rsid w:val="00031E9F"/>
    <w:rsid w:val="00044430"/>
    <w:rsid w:val="000830E1"/>
    <w:rsid w:val="00087D6F"/>
    <w:rsid w:val="00091D8D"/>
    <w:rsid w:val="00092266"/>
    <w:rsid w:val="000A2C0C"/>
    <w:rsid w:val="000A7A5E"/>
    <w:rsid w:val="000B1977"/>
    <w:rsid w:val="000B7BF9"/>
    <w:rsid w:val="000C3751"/>
    <w:rsid w:val="000C76E0"/>
    <w:rsid w:val="000E2E4D"/>
    <w:rsid w:val="000E5AF7"/>
    <w:rsid w:val="000F0861"/>
    <w:rsid w:val="00113467"/>
    <w:rsid w:val="00116828"/>
    <w:rsid w:val="0013273D"/>
    <w:rsid w:val="00151A5E"/>
    <w:rsid w:val="00167E0D"/>
    <w:rsid w:val="001754EB"/>
    <w:rsid w:val="0019075C"/>
    <w:rsid w:val="001A6A33"/>
    <w:rsid w:val="001E0CA7"/>
    <w:rsid w:val="001F7957"/>
    <w:rsid w:val="002030C9"/>
    <w:rsid w:val="00207D62"/>
    <w:rsid w:val="00207FF6"/>
    <w:rsid w:val="002144B4"/>
    <w:rsid w:val="00217560"/>
    <w:rsid w:val="002212DE"/>
    <w:rsid w:val="002220AE"/>
    <w:rsid w:val="00232FAD"/>
    <w:rsid w:val="002358D2"/>
    <w:rsid w:val="002370A0"/>
    <w:rsid w:val="00240A19"/>
    <w:rsid w:val="00242C66"/>
    <w:rsid w:val="00242CFD"/>
    <w:rsid w:val="0025253D"/>
    <w:rsid w:val="00254813"/>
    <w:rsid w:val="002662B1"/>
    <w:rsid w:val="00283B33"/>
    <w:rsid w:val="00297999"/>
    <w:rsid w:val="002B5393"/>
    <w:rsid w:val="002C2BCB"/>
    <w:rsid w:val="002C52E3"/>
    <w:rsid w:val="002D6546"/>
    <w:rsid w:val="00307609"/>
    <w:rsid w:val="003206FA"/>
    <w:rsid w:val="00326E5E"/>
    <w:rsid w:val="003431E0"/>
    <w:rsid w:val="0034361F"/>
    <w:rsid w:val="0035156F"/>
    <w:rsid w:val="00353F27"/>
    <w:rsid w:val="003541E3"/>
    <w:rsid w:val="003675F3"/>
    <w:rsid w:val="00377B8C"/>
    <w:rsid w:val="00382A0F"/>
    <w:rsid w:val="00386071"/>
    <w:rsid w:val="0039073D"/>
    <w:rsid w:val="00390C71"/>
    <w:rsid w:val="00393D3B"/>
    <w:rsid w:val="00395ABC"/>
    <w:rsid w:val="003A3A33"/>
    <w:rsid w:val="003A6B08"/>
    <w:rsid w:val="003B30AF"/>
    <w:rsid w:val="003E3BDE"/>
    <w:rsid w:val="003E74B7"/>
    <w:rsid w:val="003F420E"/>
    <w:rsid w:val="004025DD"/>
    <w:rsid w:val="00423214"/>
    <w:rsid w:val="004344F5"/>
    <w:rsid w:val="0044721B"/>
    <w:rsid w:val="00450C15"/>
    <w:rsid w:val="00466DFA"/>
    <w:rsid w:val="00467F0B"/>
    <w:rsid w:val="00497301"/>
    <w:rsid w:val="004C7F83"/>
    <w:rsid w:val="004D6B07"/>
    <w:rsid w:val="00510BD1"/>
    <w:rsid w:val="0051102C"/>
    <w:rsid w:val="00513139"/>
    <w:rsid w:val="00527FF6"/>
    <w:rsid w:val="005314A6"/>
    <w:rsid w:val="00543A9B"/>
    <w:rsid w:val="005500FF"/>
    <w:rsid w:val="005506C8"/>
    <w:rsid w:val="00554ED7"/>
    <w:rsid w:val="0057783B"/>
    <w:rsid w:val="00587C4E"/>
    <w:rsid w:val="005A4F71"/>
    <w:rsid w:val="005B0407"/>
    <w:rsid w:val="005B7BEF"/>
    <w:rsid w:val="005F5339"/>
    <w:rsid w:val="00600402"/>
    <w:rsid w:val="00642EE2"/>
    <w:rsid w:val="00644FC3"/>
    <w:rsid w:val="00655C76"/>
    <w:rsid w:val="00672AA0"/>
    <w:rsid w:val="006749B5"/>
    <w:rsid w:val="00676A41"/>
    <w:rsid w:val="006806E3"/>
    <w:rsid w:val="00692FEC"/>
    <w:rsid w:val="006A0C5D"/>
    <w:rsid w:val="006A2868"/>
    <w:rsid w:val="006A47AB"/>
    <w:rsid w:val="006B28A5"/>
    <w:rsid w:val="006B7E14"/>
    <w:rsid w:val="006C28ED"/>
    <w:rsid w:val="006C4B4B"/>
    <w:rsid w:val="006E697D"/>
    <w:rsid w:val="0070586D"/>
    <w:rsid w:val="00717AB9"/>
    <w:rsid w:val="00721D77"/>
    <w:rsid w:val="007339DF"/>
    <w:rsid w:val="007844A4"/>
    <w:rsid w:val="00784AFD"/>
    <w:rsid w:val="007852DE"/>
    <w:rsid w:val="007B004E"/>
    <w:rsid w:val="007B6FDB"/>
    <w:rsid w:val="007C4719"/>
    <w:rsid w:val="007C5186"/>
    <w:rsid w:val="007D0E5C"/>
    <w:rsid w:val="007E0756"/>
    <w:rsid w:val="007E2210"/>
    <w:rsid w:val="007F5A96"/>
    <w:rsid w:val="007F7E42"/>
    <w:rsid w:val="00800269"/>
    <w:rsid w:val="008149E7"/>
    <w:rsid w:val="008163BD"/>
    <w:rsid w:val="00820EE2"/>
    <w:rsid w:val="0082450D"/>
    <w:rsid w:val="00845D94"/>
    <w:rsid w:val="00845EC0"/>
    <w:rsid w:val="0085459E"/>
    <w:rsid w:val="00855F4F"/>
    <w:rsid w:val="00862BF0"/>
    <w:rsid w:val="00865638"/>
    <w:rsid w:val="00885189"/>
    <w:rsid w:val="008A0747"/>
    <w:rsid w:val="008E3731"/>
    <w:rsid w:val="008E4F57"/>
    <w:rsid w:val="008E5675"/>
    <w:rsid w:val="008F56EF"/>
    <w:rsid w:val="008F5E73"/>
    <w:rsid w:val="008F6D0A"/>
    <w:rsid w:val="008F6EEF"/>
    <w:rsid w:val="00902729"/>
    <w:rsid w:val="00911C72"/>
    <w:rsid w:val="00920AC0"/>
    <w:rsid w:val="00920FE9"/>
    <w:rsid w:val="00922A4C"/>
    <w:rsid w:val="00942E7A"/>
    <w:rsid w:val="009535B6"/>
    <w:rsid w:val="009568D4"/>
    <w:rsid w:val="00960E22"/>
    <w:rsid w:val="00966B28"/>
    <w:rsid w:val="00973EF1"/>
    <w:rsid w:val="009825DF"/>
    <w:rsid w:val="00990DF6"/>
    <w:rsid w:val="009915AF"/>
    <w:rsid w:val="009A1A02"/>
    <w:rsid w:val="009C7037"/>
    <w:rsid w:val="009F41C9"/>
    <w:rsid w:val="00A32E5C"/>
    <w:rsid w:val="00A36036"/>
    <w:rsid w:val="00A46ADE"/>
    <w:rsid w:val="00A646E6"/>
    <w:rsid w:val="00A65916"/>
    <w:rsid w:val="00A77466"/>
    <w:rsid w:val="00A82EB9"/>
    <w:rsid w:val="00A87E2F"/>
    <w:rsid w:val="00AB3BC3"/>
    <w:rsid w:val="00AB4200"/>
    <w:rsid w:val="00AC0432"/>
    <w:rsid w:val="00AC2C32"/>
    <w:rsid w:val="00AC4FA3"/>
    <w:rsid w:val="00AE2D08"/>
    <w:rsid w:val="00AE49F0"/>
    <w:rsid w:val="00B02570"/>
    <w:rsid w:val="00B13EE0"/>
    <w:rsid w:val="00B307A5"/>
    <w:rsid w:val="00B31152"/>
    <w:rsid w:val="00B35909"/>
    <w:rsid w:val="00B47D08"/>
    <w:rsid w:val="00B54716"/>
    <w:rsid w:val="00B84087"/>
    <w:rsid w:val="00BB3A1F"/>
    <w:rsid w:val="00BC226D"/>
    <w:rsid w:val="00BC3C68"/>
    <w:rsid w:val="00BD3BFD"/>
    <w:rsid w:val="00BE2962"/>
    <w:rsid w:val="00BE3EE1"/>
    <w:rsid w:val="00BE7230"/>
    <w:rsid w:val="00BF4984"/>
    <w:rsid w:val="00BF6BA8"/>
    <w:rsid w:val="00BF7521"/>
    <w:rsid w:val="00C1600B"/>
    <w:rsid w:val="00C17134"/>
    <w:rsid w:val="00C23EC0"/>
    <w:rsid w:val="00C35986"/>
    <w:rsid w:val="00C623AB"/>
    <w:rsid w:val="00C73FA5"/>
    <w:rsid w:val="00CA1725"/>
    <w:rsid w:val="00CA28F1"/>
    <w:rsid w:val="00CD1CF9"/>
    <w:rsid w:val="00CD79BD"/>
    <w:rsid w:val="00CE5C24"/>
    <w:rsid w:val="00D064C6"/>
    <w:rsid w:val="00D07FC0"/>
    <w:rsid w:val="00D401C8"/>
    <w:rsid w:val="00D43ACA"/>
    <w:rsid w:val="00D51439"/>
    <w:rsid w:val="00D94DDC"/>
    <w:rsid w:val="00DC6C29"/>
    <w:rsid w:val="00DD2C74"/>
    <w:rsid w:val="00DE4CF7"/>
    <w:rsid w:val="00DF2414"/>
    <w:rsid w:val="00E107C3"/>
    <w:rsid w:val="00E1495D"/>
    <w:rsid w:val="00E21E72"/>
    <w:rsid w:val="00E40461"/>
    <w:rsid w:val="00E51D1F"/>
    <w:rsid w:val="00E53179"/>
    <w:rsid w:val="00E6500F"/>
    <w:rsid w:val="00E66B5F"/>
    <w:rsid w:val="00E75683"/>
    <w:rsid w:val="00E80B68"/>
    <w:rsid w:val="00E87202"/>
    <w:rsid w:val="00EA6B44"/>
    <w:rsid w:val="00EA7550"/>
    <w:rsid w:val="00EB69F2"/>
    <w:rsid w:val="00EC2656"/>
    <w:rsid w:val="00ED64E5"/>
    <w:rsid w:val="00EE04D0"/>
    <w:rsid w:val="00F175AE"/>
    <w:rsid w:val="00F23591"/>
    <w:rsid w:val="00F623E3"/>
    <w:rsid w:val="00F64100"/>
    <w:rsid w:val="00F67CAB"/>
    <w:rsid w:val="00F7513D"/>
    <w:rsid w:val="00F76A1C"/>
    <w:rsid w:val="00F85F45"/>
    <w:rsid w:val="00FB22F0"/>
    <w:rsid w:val="00FB29F0"/>
    <w:rsid w:val="00FB2E46"/>
    <w:rsid w:val="00FB7A6B"/>
    <w:rsid w:val="00FC0D91"/>
    <w:rsid w:val="00FC4B85"/>
    <w:rsid w:val="00FD4769"/>
    <w:rsid w:val="00FD6AD3"/>
    <w:rsid w:val="00FD7D58"/>
    <w:rsid w:val="00FF4ADD"/>
    <w:rsid w:val="00FF510A"/>
    <w:rsid w:val="11DEDD71"/>
    <w:rsid w:val="22884DEF"/>
    <w:rsid w:val="2E7D6F4A"/>
    <w:rsid w:val="56657E4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2050"/>
    <o:shapelayout v:ext="edit">
      <o:idmap v:ext="edit" data="2"/>
    </o:shapelayout>
  </w:shapeDefaults>
  <w:decimalSymbol w:val="."/>
  <w:listSeparator w:val=","/>
  <w14:docId w14:val="3C1628C6"/>
  <w15:docId w15:val="{7D8411CD-BF1F-4CBC-9FE9-4CC779606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hanging="432"/>
    </w:pPr>
    <w:rPr>
      <w:rFonts w:ascii="Courier" w:hAnsi="Courier"/>
      <w:sz w:val="24"/>
    </w:rPr>
  </w:style>
  <w:style w:type="paragraph" w:customStyle="1" w:styleId="RightPar2">
    <w:name w:val="Right Par 2"/>
    <w:pPr>
      <w:tabs>
        <w:tab w:val="left" w:pos="-720"/>
        <w:tab w:val="left" w:pos="0"/>
        <w:tab w:val="left" w:pos="720"/>
        <w:tab w:val="decimal" w:pos="1440"/>
      </w:tabs>
      <w:suppressAutoHyphens/>
      <w:ind w:left="1440" w:hanging="432"/>
    </w:pPr>
    <w:rPr>
      <w:rFonts w:ascii="Courier" w:hAnsi="Courier"/>
      <w:sz w:val="24"/>
    </w:rPr>
  </w:style>
  <w:style w:type="character" w:customStyle="1" w:styleId="Document3">
    <w:name w:val="Document 3"/>
    <w:rPr>
      <w:rFonts w:ascii="Courier" w:hAnsi="Courier"/>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hanging="432"/>
    </w:pPr>
    <w:rPr>
      <w:rFonts w:ascii="Courier" w:hAnsi="Courier"/>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left="2880" w:hanging="432"/>
    </w:pPr>
    <w:rPr>
      <w:rFonts w:ascii="Courier" w:hAnsi="Courier"/>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hanging="576"/>
    </w:pPr>
    <w:rPr>
      <w:rFonts w:ascii="Courier" w:hAnsi="Courier"/>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w:hAnsi="Courier"/>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w:hAnsi="Courier"/>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w:hAnsi="Courier"/>
      <w:sz w:val="24"/>
    </w:rPr>
  </w:style>
  <w:style w:type="paragraph" w:customStyle="1" w:styleId="Document1">
    <w:name w:val="Document 1"/>
    <w:pPr>
      <w:keepNext/>
      <w:keepLines/>
      <w:tabs>
        <w:tab w:val="left" w:pos="-720"/>
      </w:tabs>
      <w:suppressAutoHyphens/>
    </w:pPr>
    <w:rPr>
      <w:rFonts w:ascii="Courier" w:hAnsi="Courier"/>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paragraph" w:customStyle="1" w:styleId="Technical5">
    <w:name w:val="Technical 5"/>
    <w:pPr>
      <w:tabs>
        <w:tab w:val="left" w:pos="-720"/>
      </w:tabs>
      <w:suppressAutoHyphens/>
      <w:ind w:firstLine="720"/>
    </w:pPr>
    <w:rPr>
      <w:rFonts w:ascii="Courier" w:hAnsi="Courier"/>
      <w:b/>
      <w:sz w:val="24"/>
    </w:rPr>
  </w:style>
  <w:style w:type="paragraph" w:customStyle="1" w:styleId="Technical6">
    <w:name w:val="Technical 6"/>
    <w:pPr>
      <w:tabs>
        <w:tab w:val="left" w:pos="-720"/>
      </w:tabs>
      <w:suppressAutoHyphens/>
      <w:ind w:firstLine="720"/>
    </w:pPr>
    <w:rPr>
      <w:rFonts w:ascii="Courier" w:hAnsi="Courier"/>
      <w:b/>
      <w:sz w:val="24"/>
    </w:rPr>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paragraph" w:customStyle="1" w:styleId="Technical4">
    <w:name w:val="Technical 4"/>
    <w:pPr>
      <w:tabs>
        <w:tab w:val="left" w:pos="-720"/>
      </w:tabs>
      <w:suppressAutoHyphens/>
    </w:pPr>
    <w:rPr>
      <w:rFonts w:ascii="Courier" w:hAnsi="Courier"/>
      <w:b/>
      <w:sz w:val="24"/>
    </w:rPr>
  </w:style>
  <w:style w:type="character" w:customStyle="1" w:styleId="Technical1">
    <w:name w:val="Technical 1"/>
    <w:rPr>
      <w:rFonts w:ascii="Courier" w:hAnsi="Courier"/>
      <w:noProof w:val="0"/>
      <w:sz w:val="24"/>
      <w:lang w:val="en-US"/>
    </w:rPr>
  </w:style>
  <w:style w:type="paragraph" w:customStyle="1" w:styleId="Technical7">
    <w:name w:val="Technical 7"/>
    <w:pPr>
      <w:tabs>
        <w:tab w:val="left" w:pos="-720"/>
      </w:tabs>
      <w:suppressAutoHyphens/>
      <w:ind w:firstLine="720"/>
    </w:pPr>
    <w:rPr>
      <w:rFonts w:ascii="Courier" w:hAnsi="Courier"/>
      <w:b/>
      <w:sz w:val="24"/>
    </w:rPr>
  </w:style>
  <w:style w:type="paragraph" w:customStyle="1" w:styleId="Technical8">
    <w:name w:val="Technical 8"/>
    <w:pPr>
      <w:tabs>
        <w:tab w:val="left" w:pos="-720"/>
      </w:tabs>
      <w:suppressAutoHyphens/>
      <w:ind w:firstLine="720"/>
    </w:pPr>
    <w:rPr>
      <w:rFonts w:ascii="Courier" w:hAnsi="Courier"/>
      <w:b/>
      <w:sz w:val="24"/>
    </w:rPr>
  </w:style>
  <w:style w:type="paragraph" w:customStyle="1" w:styleId="Pleading">
    <w:name w:val="Pleading"/>
    <w:pPr>
      <w:tabs>
        <w:tab w:val="left" w:pos="-720"/>
      </w:tabs>
      <w:suppressAutoHyphens/>
      <w:spacing w:line="240" w:lineRule="exact"/>
    </w:pPr>
    <w:rPr>
      <w:rFonts w:ascii="Courier" w:hAnsi="Courier"/>
      <w:sz w:val="24"/>
    </w:rPr>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EndnoteText">
    <w:name w:val="endnote text"/>
    <w:basedOn w:val="Normal"/>
    <w:semiHidden/>
    <w:rPr>
      <w:sz w:val="20"/>
    </w:rPr>
  </w:style>
  <w:style w:type="character" w:styleId="EndnoteReference">
    <w:name w:val="endnote reference"/>
    <w:semiHidden/>
    <w:rPr>
      <w:vertAlign w:val="superscript"/>
    </w:rPr>
  </w:style>
  <w:style w:type="character" w:styleId="Strong">
    <w:name w:val="Strong"/>
    <w:qFormat/>
    <w:rsid w:val="003206FA"/>
    <w:rPr>
      <w:b/>
      <w:bCs/>
    </w:rPr>
  </w:style>
  <w:style w:type="paragraph" w:styleId="BalloonText">
    <w:name w:val="Balloon Text"/>
    <w:basedOn w:val="Normal"/>
    <w:link w:val="BalloonTextChar"/>
    <w:semiHidden/>
    <w:unhideWhenUsed/>
    <w:rsid w:val="00B02570"/>
    <w:rPr>
      <w:rFonts w:ascii="Segoe UI" w:hAnsi="Segoe UI" w:cs="Segoe UI"/>
      <w:sz w:val="18"/>
      <w:szCs w:val="18"/>
    </w:rPr>
  </w:style>
  <w:style w:type="character" w:customStyle="1" w:styleId="BalloonTextChar">
    <w:name w:val="Balloon Text Char"/>
    <w:basedOn w:val="DefaultParagraphFont"/>
    <w:link w:val="BalloonText"/>
    <w:semiHidden/>
    <w:rsid w:val="00B02570"/>
    <w:rPr>
      <w:rFonts w:ascii="Segoe UI" w:hAnsi="Segoe UI" w:cs="Segoe UI"/>
      <w:sz w:val="18"/>
      <w:szCs w:val="18"/>
    </w:rPr>
  </w:style>
  <w:style w:type="paragraph" w:styleId="Revision">
    <w:name w:val="Revision"/>
    <w:hidden/>
    <w:uiPriority w:val="99"/>
    <w:semiHidden/>
    <w:rsid w:val="00B02570"/>
    <w:rPr>
      <w:rFonts w:ascii="Courier" w:hAnsi="Courier"/>
      <w:sz w:val="24"/>
    </w:rPr>
  </w:style>
  <w:style w:type="character" w:styleId="CommentReference">
    <w:name w:val="annotation reference"/>
    <w:basedOn w:val="DefaultParagraphFont"/>
    <w:semiHidden/>
    <w:unhideWhenUsed/>
    <w:rsid w:val="00966B28"/>
    <w:rPr>
      <w:sz w:val="16"/>
      <w:szCs w:val="16"/>
    </w:rPr>
  </w:style>
  <w:style w:type="paragraph" w:styleId="CommentText">
    <w:name w:val="annotation text"/>
    <w:basedOn w:val="Normal"/>
    <w:link w:val="CommentTextChar"/>
    <w:unhideWhenUsed/>
    <w:rsid w:val="00966B28"/>
    <w:rPr>
      <w:sz w:val="20"/>
    </w:rPr>
  </w:style>
  <w:style w:type="character" w:customStyle="1" w:styleId="CommentTextChar">
    <w:name w:val="Comment Text Char"/>
    <w:basedOn w:val="DefaultParagraphFont"/>
    <w:link w:val="CommentText"/>
    <w:rsid w:val="00966B28"/>
    <w:rPr>
      <w:rFonts w:ascii="Courier" w:hAnsi="Courier"/>
    </w:rPr>
  </w:style>
  <w:style w:type="paragraph" w:styleId="CommentSubject">
    <w:name w:val="annotation subject"/>
    <w:basedOn w:val="CommentText"/>
    <w:next w:val="CommentText"/>
    <w:link w:val="CommentSubjectChar"/>
    <w:semiHidden/>
    <w:unhideWhenUsed/>
    <w:rsid w:val="00966B28"/>
    <w:rPr>
      <w:b/>
      <w:bCs/>
    </w:rPr>
  </w:style>
  <w:style w:type="character" w:customStyle="1" w:styleId="CommentSubjectChar">
    <w:name w:val="Comment Subject Char"/>
    <w:basedOn w:val="CommentTextChar"/>
    <w:link w:val="CommentSubject"/>
    <w:semiHidden/>
    <w:rsid w:val="00966B28"/>
    <w:rPr>
      <w:rFonts w:ascii="Courier" w:hAnsi="Courier"/>
      <w:b/>
      <w:bCs/>
    </w:rPr>
  </w:style>
  <w:style w:type="character" w:styleId="Mention">
    <w:name w:val="Mention"/>
    <w:basedOn w:val="DefaultParagraphFont"/>
    <w:uiPriority w:val="99"/>
    <w:unhideWhenUsed/>
    <w:rsid w:val="00966B28"/>
    <w:rPr>
      <w:color w:val="2B579A"/>
      <w:shd w:val="clear" w:color="auto" w:fill="E1DFDD"/>
    </w:rPr>
  </w:style>
  <w:style w:type="paragraph" w:customStyle="1" w:styleId="Header-Title">
    <w:name w:val="Header-Title"/>
    <w:basedOn w:val="Header"/>
    <w:rsid w:val="001A6A33"/>
    <w:pPr>
      <w:spacing w:before="40"/>
    </w:pPr>
    <w:rPr>
      <w:rFonts w:ascii="Century Schoolbook" w:hAnsi="Century Schoolbook"/>
      <w:b/>
      <w:sz w:val="20"/>
    </w:rPr>
  </w:style>
  <w:style w:type="paragraph" w:customStyle="1" w:styleId="Header-Name">
    <w:name w:val="Header-Name"/>
    <w:basedOn w:val="Header"/>
    <w:rsid w:val="001A6A33"/>
    <w:pPr>
      <w:spacing w:before="60"/>
    </w:pPr>
    <w:rPr>
      <w:rFonts w:ascii="Century Schoolbook" w:hAnsi="Century Schoolbook"/>
      <w:sz w:val="18"/>
      <w:szCs w:val="18"/>
    </w:rPr>
  </w:style>
  <w:style w:type="paragraph" w:customStyle="1" w:styleId="Header-Title-Right">
    <w:name w:val="Header-Title-Right"/>
    <w:basedOn w:val="Header"/>
    <w:rsid w:val="001A6A33"/>
    <w:pPr>
      <w:spacing w:before="60"/>
      <w:jc w:val="right"/>
    </w:pPr>
    <w:rPr>
      <w:rFonts w:ascii="Century Schoolbook" w:hAnsi="Century Schoolbook"/>
      <w:b/>
      <w:sz w:val="18"/>
      <w:szCs w:val="18"/>
    </w:rPr>
  </w:style>
  <w:style w:type="paragraph" w:customStyle="1" w:styleId="Header-Name-Right">
    <w:name w:val="Header-Name-Right"/>
    <w:basedOn w:val="Header"/>
    <w:rsid w:val="001A6A33"/>
    <w:pPr>
      <w:spacing w:before="40"/>
      <w:jc w:val="right"/>
    </w:pPr>
    <w:rPr>
      <w:rFonts w:ascii="Century Schoolbook" w:hAnsi="Century Schoolbook"/>
      <w:sz w:val="18"/>
      <w:szCs w:val="18"/>
    </w:rPr>
  </w:style>
  <w:style w:type="paragraph" w:customStyle="1" w:styleId="COS">
    <w:name w:val="COS"/>
    <w:basedOn w:val="Header"/>
    <w:rsid w:val="001A6A33"/>
    <w:pPr>
      <w:spacing w:before="40"/>
      <w:jc w:val="center"/>
    </w:pPr>
    <w:rPr>
      <w:rFonts w:ascii="Century Schoolbook" w:hAnsi="Century Schoolbook"/>
      <w:b/>
      <w:sz w:val="28"/>
      <w:szCs w:val="28"/>
    </w:rPr>
  </w:style>
  <w:style w:type="character" w:customStyle="1" w:styleId="FooterChar">
    <w:name w:val="Footer Char"/>
    <w:link w:val="Footer"/>
    <w:uiPriority w:val="99"/>
    <w:rsid w:val="001A6A33"/>
    <w:rPr>
      <w:rFonts w:ascii="Courier" w:hAnsi="Courier"/>
      <w:sz w:val="24"/>
    </w:rPr>
  </w:style>
  <w:style w:type="paragraph" w:styleId="NormalWeb">
    <w:name w:val="Normal (Web)"/>
    <w:basedOn w:val="Normal"/>
    <w:uiPriority w:val="99"/>
    <w:unhideWhenUsed/>
    <w:rsid w:val="001A6A33"/>
    <w:pPr>
      <w:spacing w:before="100" w:beforeAutospacing="1" w:after="100" w:afterAutospacing="1"/>
    </w:pPr>
    <w:rPr>
      <w:rFonts w:ascii="Times New Roman" w:hAnsi="Times New Roman"/>
      <w:szCs w:val="24"/>
    </w:rPr>
  </w:style>
  <w:style w:type="character" w:styleId="Hyperlink">
    <w:name w:val="Hyperlink"/>
    <w:uiPriority w:val="99"/>
    <w:unhideWhenUsed/>
    <w:rsid w:val="001A6A33"/>
    <w:rPr>
      <w:color w:val="0000FF"/>
      <w:u w:val="single"/>
    </w:rPr>
  </w:style>
  <w:style w:type="paragraph" w:styleId="ListParagraph">
    <w:name w:val="List Paragraph"/>
    <w:basedOn w:val="Normal"/>
    <w:uiPriority w:val="34"/>
    <w:qFormat/>
    <w:rsid w:val="001A6A33"/>
    <w:pPr>
      <w:spacing w:before="120"/>
      <w:ind w:left="720"/>
      <w:contextualSpacing/>
    </w:pPr>
    <w:rPr>
      <w:rFonts w:ascii="Century Schoolbook" w:hAnsi="Century Schoolbook"/>
      <w:sz w:val="22"/>
      <w:szCs w:val="24"/>
    </w:rPr>
  </w:style>
  <w:style w:type="character" w:customStyle="1" w:styleId="HeaderChar">
    <w:name w:val="Header Char"/>
    <w:link w:val="Header"/>
    <w:uiPriority w:val="99"/>
    <w:rsid w:val="001A6A33"/>
    <w:rPr>
      <w:rFonts w:ascii="Courier" w:hAnsi="Courier"/>
      <w:sz w:val="24"/>
    </w:rPr>
  </w:style>
  <w:style w:type="table" w:styleId="TableGrid">
    <w:name w:val="Table Grid"/>
    <w:basedOn w:val="TableNormal"/>
    <w:uiPriority w:val="39"/>
    <w:rsid w:val="001A6A33"/>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0.xml"/></Relationships>
</file>

<file path=word/_rels/footer4.xml.rels><?xml version="1.0" encoding="UTF-8" standalone="yes"?>
<Relationships xmlns="http://schemas.openxmlformats.org/package/2006/relationships"><Relationship Id="rId1" Type="http://schemas.openxmlformats.org/officeDocument/2006/relationships/hyperlink" Target="https://saccounty-my.sharepoint.com/personal/2022-23/4.%2006.30.2023/Downloads/finance.saccounty.gov" TargetMode="External"/></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7308D-BA8A-4EAD-A454-28497C5B1CD2}">
  <ds:schemaRefs>
    <ds:schemaRef ds:uri="http://schemas.openxmlformats.org/officeDocument/2006/bibliography"/>
  </ds:schemaRefs>
</ds:datastoreItem>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36</TotalTime>
  <Pages>6</Pages>
  <Words>1023</Words>
  <Characters>5874</Characters>
  <Application>Microsoft Office Word</Application>
  <DocSecurity>8</DocSecurity>
  <Lines>318</Lines>
  <Paragraphs>95</Paragraphs>
  <ScaleCrop>false</ScaleCrop>
  <HeadingPairs>
    <vt:vector size="2" baseType="variant">
      <vt:variant>
        <vt:lpstr>Title</vt:lpstr>
      </vt:variant>
      <vt:variant>
        <vt:i4>1</vt:i4>
      </vt:variant>
    </vt:vector>
  </HeadingPairs>
  <TitlesOfParts>
    <vt:vector size="1" baseType="lpstr">
      <vt:lpstr/>
    </vt:vector>
  </TitlesOfParts>
  <Company>Sacramento County</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Matre. Alan</dc:creator>
  <cp:keywords/>
  <cp:lastModifiedBy>Kang. Tae-Young</cp:lastModifiedBy>
  <cp:revision>11</cp:revision>
  <cp:lastPrinted>2022-10-21T15:49:00Z</cp:lastPrinted>
  <dcterms:created xsi:type="dcterms:W3CDTF">2026-05-01T15:51:00Z</dcterms:created>
  <dcterms:modified xsi:type="dcterms:W3CDTF">2026-05-01T20:43:00Z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3dd1c7-22d1-431c-a46c-2d140b414506_Enabled">
    <vt:lpwstr>true</vt:lpwstr>
  </property>
  <property fmtid="{D5CDD505-2E9C-101B-9397-08002B2CF9AE}" pid="3" name="MSIP_Label_c13dd1c7-22d1-431c-a46c-2d140b414506_SetDate">
    <vt:lpwstr>2024-10-24T21:55:48Z</vt:lpwstr>
  </property>
  <property fmtid="{D5CDD505-2E9C-101B-9397-08002B2CF9AE}" pid="4" name="MSIP_Label_c13dd1c7-22d1-431c-a46c-2d140b414506_Method">
    <vt:lpwstr>Standard</vt:lpwstr>
  </property>
  <property fmtid="{D5CDD505-2E9C-101B-9397-08002B2CF9AE}" pid="5" name="MSIP_Label_c13dd1c7-22d1-431c-a46c-2d140b414506_Name">
    <vt:lpwstr>Internal Data</vt:lpwstr>
  </property>
  <property fmtid="{D5CDD505-2E9C-101B-9397-08002B2CF9AE}" pid="6" name="MSIP_Label_c13dd1c7-22d1-431c-a46c-2d140b414506_SiteId">
    <vt:lpwstr>2b077431-a3b0-4b1c-bb77-f66a1132daa2</vt:lpwstr>
  </property>
  <property fmtid="{D5CDD505-2E9C-101B-9397-08002B2CF9AE}" pid="7" name="MSIP_Label_c13dd1c7-22d1-431c-a46c-2d140b414506_ActionId">
    <vt:lpwstr>a921a95c-059f-45f0-9129-0817aaf18f66</vt:lpwstr>
  </property>
  <property fmtid="{D5CDD505-2E9C-101B-9397-08002B2CF9AE}" pid="8" name="MSIP_Label_c13dd1c7-22d1-431c-a46c-2d140b414506_ContentBits">
    <vt:lpwstr>0</vt:lpwstr>
  </property>
</Properties>
</file>